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9A4714"/>
          <w:sz w:val="20"/>
          <w:szCs w:val="20"/>
        </w:rPr>
        <w:t xml:space="preserve">09 67 23</w:t>
      </w:r>
    </w:p>
    <w:p>
      <w:pPr>
        <w:spacing w:after="100"/>
      </w:pPr>
      <w:r>
        <w:rPr>
          <w:b/>
          <w:bCs/>
          <w:color w:val="040F39"/>
          <w:sz w:val="36"/>
          <w:szCs w:val="36"/>
        </w:rPr>
        <w:t xml:space="preserve">Guide Specification — Terrazzino Micro-Terrazzo Floor System</w:t>
      </w:r>
    </w:p>
    <w:p>
      <w:pPr>
        <w:spacing w:after="240"/>
      </w:pPr>
      <w:r>
        <w:rPr>
          <w:i/>
          <w:iCs/>
          <w:color w:val="5A5F69"/>
          <w:sz w:val="18"/>
          <w:szCs w:val="18"/>
        </w:rPr>
        <w:t xml:space="preserve">Division 09 — Finishes &gt; 09 60 00 Flooring &gt; 09 67 00 Fluid-Applied Flooring &gt; 09 67 23 Resinous Flooring</w:t>
      </w:r>
    </w:p>
    <w:p>
      <w:pPr>
        <w:shd w:fill="F7F5F2" w:val="clear"/>
        <w:spacing w:after="60"/>
      </w:pPr>
      <w:r>
        <w:rPr>
          <w:b/>
          <w:bCs/>
          <w:color w:val="9A4714"/>
          <w:sz w:val="16"/>
          <w:szCs w:val="16"/>
        </w:rPr>
        <w:t xml:space="preserve">WHY THIS SECTION</w:t>
      </w:r>
    </w:p>
    <w:p>
      <w:pPr>
        <w:shd w:fill="F7F5F2" w:val="clear"/>
        <w:spacing w:after="300"/>
      </w:pPr>
      <w:r>
        <w:t xml:space="preserve">Terrazzino is a thin (approx. 60 mil), self-leveling, seamless decorative epoxy floor system that is not ground and polished after installation. MasterFormat 09 66 23 Resinous Matrix Terrazzo is written around NTMA thin-set terrazzo systems — nominally 1/4 in.–3/8 in. thick, trowel-applied, and mechanically ground and polished after cure. Specifying Terrazzino under 09 66 23 would import NTMA requirements (minimum thickness, grinding/polishing schedule, aggregate gradation) that a thin, self-leveling, non-ground system is not designed to meet. 09 67 23 Resinous Flooring covers fluid-applied, self-leveling resinous floor systems and is the better fit for this product.</w:t>
      </w:r>
    </w:p>
    <w:p>
      <w:pPr>
        <w:pStyle w:val="Heading1"/>
        <w:pageBreakBefore/>
        <w:pBdr>
          <w:bottom w:val="single" w:color="CFC8BE" w:sz="6" w:space="4"/>
        </w:pBdr>
        <w:spacing w:after="200"/>
      </w:pPr>
      <w:r>
        <w:rPr>
          <w:color w:val="040F39"/>
        </w:rPr>
        <w:t xml:space="preserve">PART 1 — GENERAL</w:t>
      </w:r>
    </w:p>
    <w:p>
      <w:pPr>
        <w:pStyle w:val="Heading2"/>
        <w:spacing w:after="100" w:before="200"/>
      </w:pPr>
      <w:r>
        <w:rPr>
          <w:color w:val="040F39"/>
        </w:rPr>
        <w:t xml:space="preserve">1.1  SUMMARY</w:t>
      </w:r>
    </w:p>
    <w:p>
      <w:pPr>
        <w:spacing w:after="140"/>
      </w:pPr>
      <w:r>
        <w:t xml:space="preserve">Section includes a self-leveling, seamless, decorative Terrazzino Micro-Terrazzo floor system comprising a moisture vapor barrier or primer, pigmented epoxy base coat, decorative self-leveling micro-terrazzo layer, and a urethane or wax polymer finish coat, installed over prepared concrete substrates.</w:t>
      </w:r>
    </w:p>
    <w:p>
      <w:pPr>
        <w:spacing w:after="140"/>
      </w:pPr>
      <w:r>
        <w:t xml:space="preserve">Related sections:</w:t>
      </w:r>
    </w:p>
    <w:p>
      <w:pPr>
        <w:pStyle w:val="ListParagraph"/>
        <w:numPr>
          <w:ilvl w:val="0"/>
          <w:numId w:val="1"/>
        </w:numPr>
        <w:spacing w:after="60"/>
      </w:pPr>
      <w:r>
        <w:t xml:space="preserve">Section 03 30 00 — Cast-in-Place Concrete, for the substrate on which this system is installed.</w:t>
      </w:r>
    </w:p>
    <w:p>
      <w:pPr>
        <w:pStyle w:val="ListParagraph"/>
        <w:numPr>
          <w:ilvl w:val="0"/>
          <w:numId w:val="1"/>
        </w:numPr>
        <w:spacing w:after="60"/>
      </w:pPr>
      <w:r>
        <w:t xml:space="preserve">Section 03 35 00 — Concrete Finishing, for substrate flatness/levelness tolerances.</w:t>
      </w:r>
    </w:p>
    <w:p>
      <w:pPr>
        <w:pStyle w:val="ListParagraph"/>
        <w:numPr>
          <w:ilvl w:val="0"/>
          <w:numId w:val="1"/>
        </w:numPr>
        <w:spacing w:after="60"/>
      </w:pPr>
      <w:r>
        <w:t xml:space="preserve">Section 07 92 00 — Joint Sealants, for sealant at moving joints within the resinous floor area.</w:t>
      </w:r>
    </w:p>
    <w:p>
      <w:pPr>
        <w:pBdr>
          <w:left w:val="single" w:color="B05418" w:sz="24" w:space="8"/>
        </w:pBdr>
        <w:shd w:fill="F7F5F2" w:val="clear"/>
        <w:spacing w:after="40" w:before="100"/>
      </w:pPr>
      <w:r>
        <w:rPr>
          <w:b/>
          <w:bCs/>
          <w:color w:val="9A4714"/>
          <w:sz w:val="14"/>
          <w:szCs w:val="14"/>
        </w:rPr>
        <w:t xml:space="preserve">SPECIFIER NOTE — NOT CONTRACT TEXT</w:t>
      </w:r>
    </w:p>
    <w:p>
      <w:pPr>
        <w:pBdr>
          <w:left w:val="single" w:color="B05418" w:sz="24" w:space="8"/>
        </w:pBdr>
        <w:shd w:fill="F7F5F2" w:val="clear"/>
        <w:spacing w:after="160"/>
      </w:pPr>
      <w:r>
        <w:rPr>
          <w:i/>
          <w:iCs/>
          <w:color w:val="3A3D44"/>
        </w:rPr>
        <w:t xml:space="preserve">Confirm substrate section numbers and joint sealant coordination against the project's actual Division 03 / 07 sections before issuing for bid.</w:t>
      </w:r>
    </w:p>
    <w:p>
      <w:pPr>
        <w:pStyle w:val="Heading2"/>
        <w:spacing w:after="100" w:before="200"/>
      </w:pPr>
      <w:r>
        <w:rPr>
          <w:color w:val="040F39"/>
        </w:rPr>
        <w:t xml:space="preserve">1.2  REFERENCES</w:t>
      </w:r>
    </w:p>
    <w:p>
      <w:pPr>
        <w:spacing w:after="140"/>
      </w:pPr>
      <w:r>
        <w:t xml:space="preserve">The following standards are referenced in this Section and apply to the edition in effect as of the date of the Contract Documents.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shd w:fill="F7F5F2" w:val="clear"/>
            <w:tcMar>
              <w:top w:type="dxa" w:w="80"/>
              <w:left w:type="dxa" w:w="100"/>
              <w:bottom w:type="dxa" w:w="80"/>
              <w:right w:type="dxa" w:w="100"/>
            </w:tcMar>
          </w:tcPr>
          <w:p>
            <w:r>
              <w:rPr>
                <w:b/>
                <w:bCs/>
                <w:color w:val="040F39"/>
                <w:sz w:val="18"/>
                <w:szCs w:val="18"/>
              </w:rPr>
              <w:t xml:space="preserve">Standard</w:t>
            </w:r>
          </w:p>
        </w:tc>
        <w:tc>
          <w:tcPr>
            <w:shd w:fill="F7F5F2" w:val="clear"/>
            <w:tcMar>
              <w:top w:type="dxa" w:w="80"/>
              <w:left w:type="dxa" w:w="100"/>
              <w:bottom w:type="dxa" w:w="80"/>
              <w:right w:type="dxa" w:w="100"/>
            </w:tcMar>
          </w:tcPr>
          <w:p>
            <w:r>
              <w:rPr>
                <w:b/>
                <w:bCs/>
                <w:color w:val="040F39"/>
                <w:sz w:val="18"/>
                <w:szCs w:val="18"/>
              </w:rPr>
              <w:t xml:space="preserve">Title</w:t>
            </w:r>
          </w:p>
        </w:tc>
      </w:tr>
      <w:tr>
        <w:tc>
          <w:tcPr>
            <w:tcMar>
              <w:top w:type="dxa" w:w="80"/>
              <w:left w:type="dxa" w:w="100"/>
              <w:bottom w:type="dxa" w:w="80"/>
              <w:right w:type="dxa" w:w="100"/>
            </w:tcMar>
          </w:tcPr>
          <w:p>
            <w:r>
              <w:rPr>
                <w:sz w:val="18"/>
                <w:szCs w:val="18"/>
              </w:rPr>
              <w:t xml:space="preserve">ASTM D695</w:t>
            </w:r>
          </w:p>
        </w:tc>
        <w:tc>
          <w:tcPr>
            <w:tcMar>
              <w:top w:type="dxa" w:w="80"/>
              <w:left w:type="dxa" w:w="100"/>
              <w:bottom w:type="dxa" w:w="80"/>
              <w:right w:type="dxa" w:w="100"/>
            </w:tcMar>
          </w:tcPr>
          <w:p>
            <w:r>
              <w:rPr>
                <w:sz w:val="18"/>
                <w:szCs w:val="18"/>
              </w:rPr>
              <w:t xml:space="preserve">Standard Test Method for Compressive Properties of Rigid Plastics</w:t>
            </w:r>
          </w:p>
        </w:tc>
      </w:tr>
      <w:tr>
        <w:tc>
          <w:tcPr>
            <w:tcMar>
              <w:top w:type="dxa" w:w="80"/>
              <w:left w:type="dxa" w:w="100"/>
              <w:bottom w:type="dxa" w:w="80"/>
              <w:right w:type="dxa" w:w="100"/>
            </w:tcMar>
          </w:tcPr>
          <w:p>
            <w:r>
              <w:rPr>
                <w:sz w:val="18"/>
                <w:szCs w:val="18"/>
              </w:rPr>
              <w:t xml:space="preserve">ASTM D638</w:t>
            </w:r>
          </w:p>
        </w:tc>
        <w:tc>
          <w:tcPr>
            <w:tcMar>
              <w:top w:type="dxa" w:w="80"/>
              <w:left w:type="dxa" w:w="100"/>
              <w:bottom w:type="dxa" w:w="80"/>
              <w:right w:type="dxa" w:w="100"/>
            </w:tcMar>
          </w:tcPr>
          <w:p>
            <w:r>
              <w:rPr>
                <w:sz w:val="18"/>
                <w:szCs w:val="18"/>
              </w:rPr>
              <w:t xml:space="preserve">Standard Test Method for Tensile Properties of Plastics</w:t>
            </w:r>
          </w:p>
        </w:tc>
      </w:tr>
      <w:tr>
        <w:tc>
          <w:tcPr>
            <w:tcMar>
              <w:top w:type="dxa" w:w="80"/>
              <w:left w:type="dxa" w:w="100"/>
              <w:bottom w:type="dxa" w:w="80"/>
              <w:right w:type="dxa" w:w="100"/>
            </w:tcMar>
          </w:tcPr>
          <w:p>
            <w:r>
              <w:rPr>
                <w:sz w:val="18"/>
                <w:szCs w:val="18"/>
              </w:rPr>
              <w:t xml:space="preserve">ASTM D790</w:t>
            </w:r>
          </w:p>
        </w:tc>
        <w:tc>
          <w:tcPr>
            <w:tcMar>
              <w:top w:type="dxa" w:w="80"/>
              <w:left w:type="dxa" w:w="100"/>
              <w:bottom w:type="dxa" w:w="80"/>
              <w:right w:type="dxa" w:w="100"/>
            </w:tcMar>
          </w:tcPr>
          <w:p>
            <w:r>
              <w:rPr>
                <w:sz w:val="18"/>
                <w:szCs w:val="18"/>
              </w:rPr>
              <w:t xml:space="preserve">Standard Test Methods for Flexural Properties of Unreinforced and Reinforced Plastics and Electrical Insulating Materials</w:t>
            </w:r>
          </w:p>
        </w:tc>
      </w:tr>
      <w:tr>
        <w:tc>
          <w:tcPr>
            <w:tcMar>
              <w:top w:type="dxa" w:w="80"/>
              <w:left w:type="dxa" w:w="100"/>
              <w:bottom w:type="dxa" w:w="80"/>
              <w:right w:type="dxa" w:w="100"/>
            </w:tcMar>
          </w:tcPr>
          <w:p>
            <w:r>
              <w:rPr>
                <w:sz w:val="18"/>
                <w:szCs w:val="18"/>
              </w:rPr>
              <w:t xml:space="preserve">ASTM F1869</w:t>
            </w:r>
          </w:p>
        </w:tc>
        <w:tc>
          <w:tcPr>
            <w:tcMar>
              <w:top w:type="dxa" w:w="80"/>
              <w:left w:type="dxa" w:w="100"/>
              <w:bottom w:type="dxa" w:w="80"/>
              <w:right w:type="dxa" w:w="100"/>
            </w:tcMar>
          </w:tcPr>
          <w:p>
            <w:r>
              <w:rPr>
                <w:sz w:val="18"/>
                <w:szCs w:val="18"/>
              </w:rPr>
              <w:t xml:space="preserve">Standard Test Method for Measuring Moisture Vapor Emission Rate of Concrete Subfloor Using Anhydrous Calcium Chloride</w:t>
            </w:r>
          </w:p>
        </w:tc>
      </w:tr>
      <w:tr>
        <w:tc>
          <w:tcPr>
            <w:tcMar>
              <w:top w:type="dxa" w:w="80"/>
              <w:left w:type="dxa" w:w="100"/>
              <w:bottom w:type="dxa" w:w="80"/>
              <w:right w:type="dxa" w:w="100"/>
            </w:tcMar>
          </w:tcPr>
          <w:p>
            <w:r>
              <w:rPr>
                <w:sz w:val="18"/>
                <w:szCs w:val="18"/>
              </w:rPr>
              <w:t xml:space="preserve">ASTM F2170</w:t>
            </w:r>
          </w:p>
        </w:tc>
        <w:tc>
          <w:tcPr>
            <w:tcMar>
              <w:top w:type="dxa" w:w="80"/>
              <w:left w:type="dxa" w:w="100"/>
              <w:bottom w:type="dxa" w:w="80"/>
              <w:right w:type="dxa" w:w="100"/>
            </w:tcMar>
          </w:tcPr>
          <w:p>
            <w:r>
              <w:rPr>
                <w:sz w:val="18"/>
                <w:szCs w:val="18"/>
              </w:rPr>
              <w:t xml:space="preserve">Standard Test Method for Determining Relative Humidity in Concrete Floor Slabs Using In Situ Probes</w:t>
            </w:r>
          </w:p>
        </w:tc>
      </w:tr>
    </w:tbl>
    <w:p>
      <w:pPr>
        <w:spacing w:after="160"/>
      </w:pPr>
    </w:p>
    <w:p>
      <w:pPr>
        <w:pBdr>
          <w:left w:val="single" w:color="B05418" w:sz="24" w:space="8"/>
        </w:pBdr>
        <w:shd w:fill="F7F5F2" w:val="clear"/>
        <w:spacing w:after="40" w:before="100"/>
      </w:pPr>
      <w:r>
        <w:rPr>
          <w:b/>
          <w:bCs/>
          <w:color w:val="9A4714"/>
          <w:sz w:val="14"/>
          <w:szCs w:val="14"/>
        </w:rPr>
        <w:t xml:space="preserve">SPECIFIER NOTE — NOT CONTRACT TEXT</w:t>
      </w:r>
    </w:p>
    <w:p>
      <w:pPr>
        <w:pBdr>
          <w:left w:val="single" w:color="B05418" w:sz="24" w:space="8"/>
        </w:pBdr>
        <w:shd w:fill="F7F5F2" w:val="clear"/>
        <w:spacing w:after="160"/>
      </w:pPr>
      <w:r>
        <w:rPr>
          <w:i/>
          <w:iCs/>
          <w:color w:val="3A3D44"/>
        </w:rPr>
        <w:t xml:space="preserve">Only the standards actually cited by the manufacturer's published data for this system are listed above. Add ICRI surface-profile or other project-specific references as needed — do not add standards the product has not been tested against.</w:t>
      </w:r>
    </w:p>
    <w:p>
      <w:pPr>
        <w:pStyle w:val="Heading2"/>
        <w:spacing w:after="100" w:before="200"/>
      </w:pPr>
      <w:r>
        <w:rPr>
          <w:color w:val="040F39"/>
        </w:rPr>
        <w:t xml:space="preserve">1.3  SUBMITTALS</w:t>
      </w:r>
    </w:p>
    <w:p>
      <w:pPr>
        <w:pStyle w:val="ListParagraph"/>
        <w:numPr>
          <w:ilvl w:val="0"/>
          <w:numId w:val="1"/>
        </w:numPr>
        <w:spacing w:after="60"/>
      </w:pPr>
      <w:r>
        <w:t xml:space="preserve">Product Data: Manufacturer's technical data sheets for each component of the system (moisture vapor barrier or primer, base coat, micro-terrazzo layer, topcoat or wax finish).</w:t>
      </w:r>
    </w:p>
    <w:p>
      <w:pPr>
        <w:pStyle w:val="ListParagraph"/>
        <w:numPr>
          <w:ilvl w:val="0"/>
          <w:numId w:val="1"/>
        </w:numPr>
        <w:spacing w:after="60"/>
      </w:pPr>
      <w:r>
        <w:t xml:space="preserve">Safety Data Sheets (SDS) for each component.</w:t>
      </w:r>
    </w:p>
    <w:p>
      <w:pPr>
        <w:pStyle w:val="ListParagraph"/>
        <w:numPr>
          <w:ilvl w:val="0"/>
          <w:numId w:val="1"/>
        </w:numPr>
        <w:spacing w:after="60"/>
      </w:pPr>
      <w:r>
        <w:t xml:space="preserve">Samples: Color chart showing all available blends; physical sample board of each selected blend, minimum </w:t>
      </w:r>
      <w:r>
        <w:rPr>
          <w:b/>
          <w:bCs/>
          <w:color w:val="9A4714"/>
        </w:rPr>
        <w:t xml:space="preserve">[sample board size]</w:t>
      </w:r>
      <w:r>
        <w:t xml:space="preserve">.</w:t>
      </w:r>
    </w:p>
    <w:p>
      <w:pPr>
        <w:pStyle w:val="ListParagraph"/>
        <w:numPr>
          <w:ilvl w:val="0"/>
          <w:numId w:val="1"/>
        </w:numPr>
        <w:spacing w:after="60"/>
      </w:pPr>
      <w:r>
        <w:t xml:space="preserve">Guide/project specification and short-form specification text, as issued by the manufacturer.</w:t>
      </w:r>
    </w:p>
    <w:p>
      <w:pPr>
        <w:pStyle w:val="ListParagraph"/>
        <w:numPr>
          <w:ilvl w:val="0"/>
          <w:numId w:val="1"/>
        </w:numPr>
        <w:spacing w:after="60"/>
      </w:pPr>
      <w:r>
        <w:t xml:space="preserve">Installer qualifications, as described in Quality Assurance below.</w:t>
      </w:r>
    </w:p>
    <w:p>
      <w:pPr>
        <w:pStyle w:val="ListParagraph"/>
        <w:numPr>
          <w:ilvl w:val="0"/>
          <w:numId w:val="1"/>
        </w:numPr>
        <w:spacing w:after="60"/>
      </w:pPr>
      <w:r>
        <w:t xml:space="preserve">Warranty: Sample warranty form. </w:t>
      </w:r>
      <w:r>
        <w:rPr>
          <w:b/>
          <w:bCs/>
          <w:color w:val="9A4714"/>
        </w:rPr>
        <w:t xml:space="preserve">[warranty terms]</w:t>
      </w:r>
    </w:p>
    <w:p>
      <w:pPr>
        <w:pStyle w:val="ListParagraph"/>
        <w:numPr>
          <w:ilvl w:val="0"/>
          <w:numId w:val="1"/>
        </w:numPr>
        <w:spacing w:after="60"/>
      </w:pPr>
      <w:r>
        <w:t xml:space="preserve">Maintenance data: Manufacturer's care and maintenance instructions for Contract Closeout submittals.</w:t>
      </w:r>
    </w:p>
    <w:p>
      <w:pPr>
        <w:pStyle w:val="Heading2"/>
        <w:spacing w:after="100" w:before="200"/>
      </w:pPr>
      <w:r>
        <w:rPr>
          <w:color w:val="040F39"/>
        </w:rPr>
        <w:t xml:space="preserve">1.4  QUALITY ASSURANCE</w:t>
      </w:r>
    </w:p>
    <w:p>
      <w:pPr>
        <w:spacing w:after="140"/>
      </w:pPr>
      <w:r>
        <w:t xml:space="preserve">Installer qualifications: </w:t>
      </w:r>
      <w:r>
        <w:rPr>
          <w:b/>
          <w:bCs/>
          <w:color w:val="9A4714"/>
        </w:rPr>
        <w:t xml:space="preserve">[installer qualification / certification requirements]</w:t>
      </w:r>
    </w:p>
    <w:p>
      <w:pPr>
        <w:spacing w:after="140"/>
      </w:pPr>
      <w:r>
        <w:t xml:space="preserve">Mock-up: Before proceeding with the Work, install a mock-up panel of not less than </w:t>
      </w:r>
      <w:r>
        <w:rPr>
          <w:b/>
          <w:bCs/>
          <w:color w:val="9A4714"/>
        </w:rPr>
        <w:t xml:space="preserve">[mock-up panel size]</w:t>
      </w:r>
      <w:r>
        <w:t xml:space="preserve"> showing the full system build-up (substrate preparation, moisture vapor barrier or primer, base coat, micro-terrazzo layer at target thickness, and specified finish coat) in the selected blend, for review and approval by the Architect of color, blend, texture, and gloss. Approved mock-up establishes the standard for the Work and may remain as part of the completed Work if approved.</w:t>
      </w:r>
    </w:p>
    <w:p>
      <w:pPr>
        <w:pBdr>
          <w:left w:val="single" w:color="B05418" w:sz="24" w:space="8"/>
        </w:pBdr>
        <w:shd w:fill="F7F5F2" w:val="clear"/>
        <w:spacing w:after="40" w:before="100"/>
      </w:pPr>
      <w:r>
        <w:rPr>
          <w:b/>
          <w:bCs/>
          <w:color w:val="9A4714"/>
          <w:sz w:val="14"/>
          <w:szCs w:val="14"/>
        </w:rPr>
        <w:t xml:space="preserve">SPECIFIER NOTE — NOT CONTRACT TEXT</w:t>
      </w:r>
    </w:p>
    <w:p>
      <w:pPr>
        <w:pBdr>
          <w:left w:val="single" w:color="B05418" w:sz="24" w:space="8"/>
        </w:pBdr>
        <w:shd w:fill="F7F5F2" w:val="clear"/>
        <w:spacing w:after="160"/>
      </w:pPr>
      <w:r>
        <w:rPr>
          <w:i/>
          <w:iCs/>
          <w:color w:val="3A3D44"/>
        </w:rPr>
        <w:t xml:space="preserve">Manufacturer certification/training programs and minimum years-in-business or project-count requirements are not published in the source material reviewed for this guide spec. Insert the owner's actual installer-qualification requirement before issuing for bid — do not invent a credential or program name.</w:t>
      </w:r>
    </w:p>
    <w:p>
      <w:pPr>
        <w:pStyle w:val="Heading2"/>
        <w:spacing w:after="100" w:before="200"/>
      </w:pPr>
      <w:r>
        <w:rPr>
          <w:color w:val="040F39"/>
        </w:rPr>
        <w:t xml:space="preserve">1.5  DELIVERY, STORAGE, AND HANDLING</w:t>
      </w:r>
    </w:p>
    <w:p>
      <w:pPr>
        <w:pStyle w:val="ListParagraph"/>
        <w:numPr>
          <w:ilvl w:val="0"/>
          <w:numId w:val="1"/>
        </w:numPr>
        <w:spacing w:after="60"/>
      </w:pPr>
      <w:r>
        <w:t xml:space="preserve">Deliver materials in original, unopened containers with manufacturer's labels intact, identifying product name, batch/lot, and shelf life.</w:t>
      </w:r>
    </w:p>
    <w:p>
      <w:pPr>
        <w:pStyle w:val="ListParagraph"/>
        <w:numPr>
          <w:ilvl w:val="0"/>
          <w:numId w:val="1"/>
        </w:numPr>
        <w:spacing w:after="60"/>
      </w:pPr>
      <w:r>
        <w:t xml:space="preserve">Shelf life: 1 year in unopened containers, stored at normal room temperature.</w:t>
      </w:r>
    </w:p>
    <w:p>
      <w:pPr>
        <w:pStyle w:val="ListParagraph"/>
        <w:numPr>
          <w:ilvl w:val="0"/>
          <w:numId w:val="1"/>
        </w:numPr>
        <w:spacing w:after="60"/>
      </w:pPr>
      <w:r>
        <w:t xml:space="preserve">Store all system components at 65–85°F for at least 48 hours immediately before use.</w:t>
      </w:r>
    </w:p>
    <w:p>
      <w:pPr>
        <w:pStyle w:val="ListParagraph"/>
        <w:numPr>
          <w:ilvl w:val="0"/>
          <w:numId w:val="1"/>
        </w:numPr>
        <w:spacing w:after="60"/>
      </w:pPr>
      <w:r>
        <w:t xml:space="preserve">Do not store materials where exposed to freezing, direct sun, or ambient temperatures outside the manufacturer's stated range.</w:t>
      </w:r>
    </w:p>
    <w:p>
      <w:pPr>
        <w:pStyle w:val="ListParagraph"/>
        <w:numPr>
          <w:ilvl w:val="0"/>
          <w:numId w:val="1"/>
        </w:numPr>
        <w:spacing w:after="60"/>
      </w:pPr>
      <w:r>
        <w:t xml:space="preserve">Handle Part A and Part B components to avoid cross-contamination; keep containers closed when not in use.</w:t>
      </w:r>
    </w:p>
    <w:p>
      <w:pPr>
        <w:pStyle w:val="Heading2"/>
        <w:spacing w:after="100" w:before="200"/>
      </w:pPr>
      <w:r>
        <w:rPr>
          <w:color w:val="040F39"/>
        </w:rPr>
        <w:t xml:space="preserve">1.6  FIELD CONDITIONS</w:t>
      </w:r>
    </w:p>
    <w:p>
      <w:pPr>
        <w:pStyle w:val="ListParagraph"/>
        <w:numPr>
          <w:ilvl w:val="0"/>
          <w:numId w:val="1"/>
        </w:numPr>
        <w:spacing w:after="60"/>
      </w:pPr>
      <w:r>
        <w:t xml:space="preserve">Ambient and substrate temperature: 50–90°F during application and until full cure.</w:t>
      </w:r>
    </w:p>
    <w:p>
      <w:pPr>
        <w:pStyle w:val="ListParagraph"/>
        <w:numPr>
          <w:ilvl w:val="0"/>
          <w:numId w:val="1"/>
        </w:numPr>
        <w:spacing w:after="60"/>
      </w:pPr>
      <w:r>
        <w:t xml:space="preserve">Relative humidity: below 85% during application. When relative humidity exceeds 70%, allow the mixed material to induct for 15 minutes before applying; remix before use.</w:t>
      </w:r>
    </w:p>
    <w:p>
      <w:pPr>
        <w:pStyle w:val="ListParagraph"/>
        <w:numPr>
          <w:ilvl w:val="0"/>
          <w:numId w:val="1"/>
        </w:numPr>
        <w:spacing w:after="60"/>
      </w:pPr>
      <w:r>
        <w:t xml:space="preserve">Substrate (dew point): maintain substrate temperature at least 5°F above the measured dew point throughout application and initial cure.</w:t>
      </w:r>
    </w:p>
    <w:p>
      <w:pPr>
        <w:pStyle w:val="ListParagraph"/>
        <w:numPr>
          <w:ilvl w:val="0"/>
          <w:numId w:val="1"/>
        </w:numPr>
        <w:spacing w:after="60"/>
      </w:pPr>
      <w:r>
        <w:t xml:space="preserve">Do not apply over substrates subject to hydrostatic or osmotic moisture conditions, or over gypsum-based or lightweight concrete substrates.</w:t>
      </w:r>
    </w:p>
    <w:p>
      <w:pPr>
        <w:pBdr>
          <w:left w:val="single" w:color="B05418" w:sz="24" w:space="8"/>
        </w:pBdr>
        <w:shd w:fill="F7F5F2" w:val="clear"/>
        <w:spacing w:after="40" w:before="100"/>
      </w:pPr>
      <w:r>
        <w:rPr>
          <w:b/>
          <w:bCs/>
          <w:color w:val="9A4714"/>
          <w:sz w:val="14"/>
          <w:szCs w:val="14"/>
        </w:rPr>
        <w:t xml:space="preserve">SPECIFIER NOTE — NOT CONTRACT TEXT</w:t>
      </w:r>
    </w:p>
    <w:p>
      <w:pPr>
        <w:pBdr>
          <w:left w:val="single" w:color="B05418" w:sz="24" w:space="8"/>
        </w:pBdr>
        <w:shd w:fill="F7F5F2" w:val="clear"/>
        <w:spacing w:after="160"/>
      </w:pPr>
      <w:r>
        <w:rPr>
          <w:i/>
          <w:iCs/>
          <w:color w:val="3A3D44"/>
        </w:rPr>
        <w:t xml:space="preserve">Field-condition values above are from the manufacturer's moisture vapor barrier technical data sheet. If the base coat, micro-terrazzo, or topcoat layers carry different ambient limits once their current TDS revisions are confirmed, reconcile before issuing.</w:t>
      </w:r>
    </w:p>
    <w:p>
      <w:pPr>
        <w:pStyle w:val="Heading2"/>
        <w:spacing w:after="100" w:before="200"/>
      </w:pPr>
      <w:r>
        <w:rPr>
          <w:color w:val="040F39"/>
        </w:rPr>
        <w:t xml:space="preserve">1.7  WARRANTY</w:t>
      </w:r>
    </w:p>
    <w:p>
      <w:pPr>
        <w:spacing w:after="140"/>
      </w:pPr>
      <w:r>
        <w:rPr>
          <w:b/>
          <w:bCs/>
          <w:color w:val="9A4714"/>
        </w:rPr>
        <w:t xml:space="preserve">[manufacturer and/or installer warranty terms, duration, and coverage]</w:t>
      </w:r>
    </w:p>
    <w:p>
      <w:pPr>
        <w:pBdr>
          <w:left w:val="single" w:color="B05418" w:sz="24" w:space="8"/>
        </w:pBdr>
        <w:shd w:fill="F7F5F2" w:val="clear"/>
        <w:spacing w:after="40" w:before="100"/>
      </w:pPr>
      <w:r>
        <w:rPr>
          <w:b/>
          <w:bCs/>
          <w:color w:val="9A4714"/>
          <w:sz w:val="14"/>
          <w:szCs w:val="14"/>
        </w:rPr>
        <w:t xml:space="preserve">SPECIFIER NOTE — NOT CONTRACT TEXT</w:t>
      </w:r>
    </w:p>
    <w:p>
      <w:pPr>
        <w:pBdr>
          <w:left w:val="single" w:color="B05418" w:sz="24" w:space="8"/>
        </w:pBdr>
        <w:shd w:fill="F7F5F2" w:val="clear"/>
        <w:spacing w:after="160"/>
      </w:pPr>
      <w:r>
        <w:rPr>
          <w:i/>
          <w:iCs/>
          <w:color w:val="3A3D44"/>
        </w:rPr>
        <w:t xml:space="preserve">No warranty terms, duration, or coverage scope are published in the source material reviewed for this guide spec. Per project hard rules, do not invent warranty language — obtain the manufacturer's current warranty document before completing this article.</w:t>
      </w:r>
    </w:p>
    <w:p>
      <w:pPr>
        <w:pStyle w:val="Heading1"/>
        <w:pageBreakBefore/>
        <w:pBdr>
          <w:bottom w:val="single" w:color="CFC8BE" w:sz="6" w:space="4"/>
        </w:pBdr>
        <w:spacing w:after="200"/>
      </w:pPr>
      <w:r>
        <w:rPr>
          <w:color w:val="040F39"/>
        </w:rPr>
        <w:t xml:space="preserve">PART 2 — PRODUCTS</w:t>
      </w:r>
    </w:p>
    <w:p>
      <w:pPr>
        <w:pStyle w:val="Heading2"/>
        <w:spacing w:after="100" w:before="200"/>
      </w:pPr>
      <w:r>
        <w:rPr>
          <w:color w:val="040F39"/>
        </w:rPr>
        <w:t xml:space="preserve">2.1  MANUFACTURER</w:t>
      </w:r>
    </w:p>
    <w:p>
      <w:pPr>
        <w:spacing w:after="140"/>
      </w:pPr>
      <w:r>
        <w:t xml:space="preserve">Basis of Design: Terrazzino Micro-Terrazzo Floor System. Contact: </w:t>
      </w:r>
      <w:r>
        <w:rPr>
          <w:b/>
          <w:bCs/>
          <w:color w:val="9A4714"/>
        </w:rPr>
        <w:t xml:space="preserve">[manufacturer contact information]</w:t>
      </w:r>
      <w:r>
        <w:t xml:space="preserve">.</w:t>
      </w:r>
    </w:p>
    <w:p>
      <w:pPr>
        <w:spacing w:after="140"/>
      </w:pPr>
      <w:r>
        <w:t xml:space="preserve">Substitutions: </w:t>
      </w:r>
      <w:r>
        <w:rPr>
          <w:b/>
          <w:bCs/>
          <w:color w:val="9A4714"/>
        </w:rPr>
        <w:t xml:space="preserve">[substitution policy]</w:t>
      </w:r>
    </w:p>
    <w:p>
      <w:pPr>
        <w:pStyle w:val="Heading2"/>
        <w:spacing w:after="100" w:before="200"/>
      </w:pPr>
      <w:r>
        <w:rPr>
          <w:color w:val="040F39"/>
        </w:rPr>
        <w:t xml:space="preserve">2.2  SYSTEM COMPONENTS</w:t>
      </w:r>
    </w:p>
    <w:p>
      <w:pPr>
        <w:spacing w:after="140"/>
      </w:pPr>
      <w:r>
        <w:t xml:space="preserve">Provide the following components, as manufactured for the Terrazzino system:</w:t>
      </w:r>
    </w:p>
    <w:p>
      <w:pPr>
        <w:pStyle w:val="ListParagraph"/>
        <w:numPr>
          <w:ilvl w:val="0"/>
          <w:numId w:val="1"/>
        </w:numPr>
        <w:spacing w:after="60"/>
      </w:pPr>
      <w:r>
        <w:t xml:space="preserve">Moisture vapor barrier: Terrazzino Moisture Vapor Control — required on all slab-on-grade work and any application directly over concrete.</w:t>
      </w:r>
    </w:p>
    <w:p>
      <w:pPr>
        <w:pStyle w:val="ListParagraph"/>
        <w:numPr>
          <w:ilvl w:val="0"/>
          <w:numId w:val="1"/>
        </w:numPr>
        <w:spacing w:after="60"/>
      </w:pPr>
      <w:r>
        <w:t xml:space="preserve">Primer (alternative to the moisture vapor barrier, eligible non-porous substrates only): Terrazzino Fast Set Primer. Not a moisture vapor barrier.</w:t>
      </w:r>
    </w:p>
    <w:p>
      <w:pPr>
        <w:pStyle w:val="ListParagraph"/>
        <w:numPr>
          <w:ilvl w:val="0"/>
          <w:numId w:val="1"/>
        </w:numPr>
        <w:spacing w:after="60"/>
      </w:pPr>
      <w:r>
        <w:t xml:space="preserve">Base coat: Terrazzino High Build Epoxy — 100% solids pigmented epoxy, color-matched to the selected blend.</w:t>
      </w:r>
    </w:p>
    <w:p>
      <w:pPr>
        <w:pStyle w:val="ListParagraph"/>
        <w:numPr>
          <w:ilvl w:val="0"/>
          <w:numId w:val="1"/>
        </w:numPr>
        <w:spacing w:after="60"/>
      </w:pPr>
      <w:r>
        <w:t xml:space="preserve">Decorative layer: Terrazzino Micro-Terrazzo — self-leveling, two-component, 100% solids clear epoxy binder combined with Terrazzino aggregate blend.</w:t>
      </w:r>
    </w:p>
    <w:p>
      <w:pPr>
        <w:pStyle w:val="ListParagraph"/>
        <w:numPr>
          <w:ilvl w:val="0"/>
          <w:numId w:val="1"/>
        </w:numPr>
        <w:spacing w:after="60"/>
      </w:pPr>
      <w:r>
        <w:t xml:space="preserve">Finish coat (select one): Terrazzino Urethane Topcoat (low-gloss or high-gloss) for wear, chemical, and UV protection; or Terrazzino Cera wax finish for owner-maintained floors that will be periodically buffed and rewaxed.</w:t>
      </w:r>
    </w:p>
    <w:p>
      <w:pPr>
        <w:pStyle w:val="ListParagraph"/>
        <w:numPr>
          <w:ilvl w:val="0"/>
          <w:numId w:val="1"/>
        </w:numPr>
        <w:spacing w:after="60"/>
      </w:pPr>
      <w:r>
        <w:t xml:space="preserve">Crack and pinhole repair material: crack paste / pinhole filler compatible with the system.</w:t>
      </w:r>
    </w:p>
    <w:p>
      <w:pPr>
        <w:pStyle w:val="Heading2"/>
        <w:spacing w:after="100" w:before="200"/>
      </w:pPr>
      <w:r>
        <w:rPr>
          <w:color w:val="040F39"/>
        </w:rPr>
        <w:t xml:space="preserve">2.3  PERFORMANCE REQUIREMENTS</w:t>
      </w:r>
    </w:p>
    <w:p>
      <w:pPr>
        <w:spacing w:after="140"/>
      </w:pPr>
      <w:r>
        <w:t xml:space="preserve">The decorative layer shall meet or exceed the following published physical properties. Blank/Data-pending rows have not been published by the manufacturer and must be confirmed before use as acceptance criteria.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c>
          <w:tcPr>
            <w:shd w:fill="F7F5F2" w:val="clear"/>
            <w:tcMar>
              <w:top w:type="dxa" w:w="80"/>
              <w:left w:type="dxa" w:w="100"/>
              <w:bottom w:type="dxa" w:w="80"/>
              <w:right w:type="dxa" w:w="100"/>
            </w:tcMar>
          </w:tcPr>
          <w:p>
            <w:r>
              <w:rPr>
                <w:b/>
                <w:bCs/>
                <w:color w:val="040F39"/>
                <w:sz w:val="18"/>
                <w:szCs w:val="18"/>
              </w:rPr>
              <w:t xml:space="preserve">Property</w:t>
            </w:r>
          </w:p>
        </w:tc>
        <w:tc>
          <w:tcPr>
            <w:shd w:fill="F7F5F2" w:val="clear"/>
            <w:tcMar>
              <w:top w:type="dxa" w:w="80"/>
              <w:left w:type="dxa" w:w="100"/>
              <w:bottom w:type="dxa" w:w="80"/>
              <w:right w:type="dxa" w:w="100"/>
            </w:tcMar>
          </w:tcPr>
          <w:p>
            <w:r>
              <w:rPr>
                <w:b/>
                <w:bCs/>
                <w:color w:val="040F39"/>
                <w:sz w:val="18"/>
                <w:szCs w:val="18"/>
              </w:rPr>
              <w:t xml:space="preserve">Requirement</w:t>
            </w:r>
          </w:p>
        </w:tc>
        <w:tc>
          <w:tcPr>
            <w:shd w:fill="F7F5F2" w:val="clear"/>
            <w:tcMar>
              <w:top w:type="dxa" w:w="80"/>
              <w:left w:type="dxa" w:w="100"/>
              <w:bottom w:type="dxa" w:w="80"/>
              <w:right w:type="dxa" w:w="100"/>
            </w:tcMar>
          </w:tcPr>
          <w:p>
            <w:r>
              <w:rPr>
                <w:b/>
                <w:bCs/>
                <w:color w:val="040F39"/>
                <w:sz w:val="18"/>
                <w:szCs w:val="18"/>
              </w:rPr>
              <w:t xml:space="preserve">Test method</w:t>
            </w:r>
          </w:p>
        </w:tc>
      </w:tr>
      <w:tr>
        <w:tc>
          <w:tcPr>
            <w:tcMar>
              <w:top w:type="dxa" w:w="80"/>
              <w:left w:type="dxa" w:w="100"/>
              <w:bottom w:type="dxa" w:w="80"/>
              <w:right w:type="dxa" w:w="100"/>
            </w:tcMar>
          </w:tcPr>
          <w:p>
            <w:r>
              <w:rPr>
                <w:sz w:val="18"/>
                <w:szCs w:val="18"/>
              </w:rPr>
              <w:t xml:space="preserve">Solids by weight</w:t>
            </w:r>
          </w:p>
        </w:tc>
        <w:tc>
          <w:tcPr>
            <w:tcMar>
              <w:top w:type="dxa" w:w="80"/>
              <w:left w:type="dxa" w:w="100"/>
              <w:bottom w:type="dxa" w:w="80"/>
              <w:right w:type="dxa" w:w="100"/>
            </w:tcMar>
          </w:tcPr>
          <w:p>
            <w:r>
              <w:rPr>
                <w:sz w:val="18"/>
                <w:szCs w:val="18"/>
              </w:rPr>
              <w:t xml:space="preserve">99–100% (±1%)</w:t>
            </w:r>
          </w:p>
        </w:tc>
        <w:tc>
          <w:tcPr>
            <w:tcMar>
              <w:top w:type="dxa" w:w="80"/>
              <w:left w:type="dxa" w:w="100"/>
              <w:bottom w:type="dxa" w:w="80"/>
              <w:right w:type="dxa" w:w="100"/>
            </w:tcMar>
          </w:tcPr>
          <w:p>
            <w:r>
              <w:rPr>
                <w:sz w:val="18"/>
                <w:szCs w:val="18"/>
              </w:rPr>
              <w:t xml:space="preserve">Not stated</w:t>
            </w:r>
          </w:p>
        </w:tc>
      </w:tr>
      <w:tr>
        <w:tc>
          <w:tcPr>
            <w:tcMar>
              <w:top w:type="dxa" w:w="80"/>
              <w:left w:type="dxa" w:w="100"/>
              <w:bottom w:type="dxa" w:w="80"/>
              <w:right w:type="dxa" w:w="100"/>
            </w:tcMar>
          </w:tcPr>
          <w:p>
            <w:r>
              <w:rPr>
                <w:sz w:val="18"/>
                <w:szCs w:val="18"/>
              </w:rPr>
              <w:t xml:space="preserve">Solids by volume</w:t>
            </w:r>
          </w:p>
        </w:tc>
        <w:tc>
          <w:tcPr>
            <w:tcMar>
              <w:top w:type="dxa" w:w="80"/>
              <w:left w:type="dxa" w:w="100"/>
              <w:bottom w:type="dxa" w:w="80"/>
              <w:right w:type="dxa" w:w="100"/>
            </w:tcMar>
          </w:tcPr>
          <w:p>
            <w:r>
              <w:rPr>
                <w:sz w:val="18"/>
                <w:szCs w:val="18"/>
              </w:rPr>
              <w:t xml:space="preserve">99–100% (±1%)</w:t>
            </w:r>
          </w:p>
        </w:tc>
        <w:tc>
          <w:tcPr>
            <w:tcMar>
              <w:top w:type="dxa" w:w="80"/>
              <w:left w:type="dxa" w:w="100"/>
              <w:bottom w:type="dxa" w:w="80"/>
              <w:right w:type="dxa" w:w="100"/>
            </w:tcMar>
          </w:tcPr>
          <w:p>
            <w:r>
              <w:rPr>
                <w:sz w:val="18"/>
                <w:szCs w:val="18"/>
              </w:rPr>
              <w:t xml:space="preserve">Not stated</w:t>
            </w:r>
          </w:p>
        </w:tc>
      </w:tr>
      <w:tr>
        <w:tc>
          <w:tcPr>
            <w:tcMar>
              <w:top w:type="dxa" w:w="80"/>
              <w:left w:type="dxa" w:w="100"/>
              <w:bottom w:type="dxa" w:w="80"/>
              <w:right w:type="dxa" w:w="100"/>
            </w:tcMar>
          </w:tcPr>
          <w:p>
            <w:r>
              <w:rPr>
                <w:sz w:val="18"/>
                <w:szCs w:val="18"/>
              </w:rPr>
              <w:t xml:space="preserve">VOC content</w:t>
            </w:r>
          </w:p>
        </w:tc>
        <w:tc>
          <w:tcPr>
            <w:tcMar>
              <w:top w:type="dxa" w:w="80"/>
              <w:left w:type="dxa" w:w="100"/>
              <w:bottom w:type="dxa" w:w="80"/>
              <w:right w:type="dxa" w:w="100"/>
            </w:tcMar>
          </w:tcPr>
          <w:p>
            <w:r>
              <w:rPr>
                <w:sz w:val="18"/>
                <w:szCs w:val="18"/>
              </w:rPr>
              <w:t xml:space="preserve">&lt; 2 g/L</w:t>
            </w:r>
          </w:p>
        </w:tc>
        <w:tc>
          <w:tcPr>
            <w:tcMar>
              <w:top w:type="dxa" w:w="80"/>
              <w:left w:type="dxa" w:w="100"/>
              <w:bottom w:type="dxa" w:w="80"/>
              <w:right w:type="dxa" w:w="100"/>
            </w:tcMar>
          </w:tcPr>
          <w:p>
            <w:r>
              <w:rPr>
                <w:sz w:val="18"/>
                <w:szCs w:val="18"/>
              </w:rPr>
              <w:t xml:space="preserve">Not stated</w:t>
            </w:r>
          </w:p>
        </w:tc>
      </w:tr>
      <w:tr>
        <w:tc>
          <w:tcPr>
            <w:tcMar>
              <w:top w:type="dxa" w:w="80"/>
              <w:left w:type="dxa" w:w="100"/>
              <w:bottom w:type="dxa" w:w="80"/>
              <w:right w:type="dxa" w:w="100"/>
            </w:tcMar>
          </w:tcPr>
          <w:p>
            <w:r>
              <w:rPr>
                <w:sz w:val="18"/>
                <w:szCs w:val="18"/>
              </w:rPr>
              <w:t xml:space="preserve">Gloss</w:t>
            </w:r>
          </w:p>
        </w:tc>
        <w:tc>
          <w:tcPr>
            <w:tcMar>
              <w:top w:type="dxa" w:w="80"/>
              <w:left w:type="dxa" w:w="100"/>
              <w:bottom w:type="dxa" w:w="80"/>
              <w:right w:type="dxa" w:w="100"/>
            </w:tcMar>
          </w:tcPr>
          <w:p>
            <w:r>
              <w:rPr>
                <w:sz w:val="18"/>
                <w:szCs w:val="18"/>
              </w:rPr>
              <w:t xml:space="preserve">&gt; 70 at 60°</w:t>
            </w:r>
          </w:p>
        </w:tc>
        <w:tc>
          <w:tcPr>
            <w:tcMar>
              <w:top w:type="dxa" w:w="80"/>
              <w:left w:type="dxa" w:w="100"/>
              <w:bottom w:type="dxa" w:w="80"/>
              <w:right w:type="dxa" w:w="100"/>
            </w:tcMar>
          </w:tcPr>
          <w:p>
            <w:r>
              <w:rPr>
                <w:sz w:val="18"/>
                <w:szCs w:val="18"/>
              </w:rPr>
              <w:t xml:space="preserve">Glossmeter (standard not stated)</w:t>
            </w:r>
          </w:p>
        </w:tc>
      </w:tr>
      <w:tr>
        <w:tc>
          <w:tcPr>
            <w:tcMar>
              <w:top w:type="dxa" w:w="80"/>
              <w:left w:type="dxa" w:w="100"/>
              <w:bottom w:type="dxa" w:w="80"/>
              <w:right w:type="dxa" w:w="100"/>
            </w:tcMar>
          </w:tcPr>
          <w:p>
            <w:r>
              <w:rPr>
                <w:sz w:val="18"/>
                <w:szCs w:val="18"/>
              </w:rPr>
              <w:t xml:space="preserve">Flexural strength</w:t>
            </w:r>
          </w:p>
        </w:tc>
        <w:tc>
          <w:tcPr>
            <w:tcMar>
              <w:top w:type="dxa" w:w="80"/>
              <w:left w:type="dxa" w:w="100"/>
              <w:bottom w:type="dxa" w:w="80"/>
              <w:right w:type="dxa" w:w="100"/>
            </w:tcMar>
          </w:tcPr>
          <w:p>
            <w:r>
              <w:rPr>
                <w:sz w:val="18"/>
                <w:szCs w:val="18"/>
              </w:rPr>
              <w:t xml:space="preserve">8,300 psi</w:t>
            </w:r>
          </w:p>
        </w:tc>
        <w:tc>
          <w:tcPr>
            <w:tcMar>
              <w:top w:type="dxa" w:w="80"/>
              <w:left w:type="dxa" w:w="100"/>
              <w:bottom w:type="dxa" w:w="80"/>
              <w:right w:type="dxa" w:w="100"/>
            </w:tcMar>
          </w:tcPr>
          <w:p>
            <w:r>
              <w:rPr>
                <w:sz w:val="18"/>
                <w:szCs w:val="18"/>
              </w:rPr>
              <w:t xml:space="preserve">ASTM D790</w:t>
            </w:r>
          </w:p>
        </w:tc>
      </w:tr>
      <w:tr>
        <w:tc>
          <w:tcPr>
            <w:tcMar>
              <w:top w:type="dxa" w:w="80"/>
              <w:left w:type="dxa" w:w="100"/>
              <w:bottom w:type="dxa" w:w="80"/>
              <w:right w:type="dxa" w:w="100"/>
            </w:tcMar>
          </w:tcPr>
          <w:p>
            <w:r>
              <w:rPr>
                <w:sz w:val="18"/>
                <w:szCs w:val="18"/>
              </w:rPr>
              <w:t xml:space="preserve">Compressive strength</w:t>
            </w:r>
          </w:p>
        </w:tc>
        <w:tc>
          <w:tcPr>
            <w:tcMar>
              <w:top w:type="dxa" w:w="80"/>
              <w:left w:type="dxa" w:w="100"/>
              <w:bottom w:type="dxa" w:w="80"/>
              <w:right w:type="dxa" w:w="100"/>
            </w:tcMar>
          </w:tcPr>
          <w:p>
            <w:r>
              <w:rPr>
                <w:sz w:val="18"/>
                <w:szCs w:val="18"/>
              </w:rPr>
              <w:t xml:space="preserve">10,500 psi</w:t>
            </w:r>
          </w:p>
        </w:tc>
        <w:tc>
          <w:tcPr>
            <w:tcMar>
              <w:top w:type="dxa" w:w="80"/>
              <w:left w:type="dxa" w:w="100"/>
              <w:bottom w:type="dxa" w:w="80"/>
              <w:right w:type="dxa" w:w="100"/>
            </w:tcMar>
          </w:tcPr>
          <w:p>
            <w:r>
              <w:rPr>
                <w:sz w:val="18"/>
                <w:szCs w:val="18"/>
              </w:rPr>
              <w:t xml:space="preserve">ASTM D695</w:t>
            </w:r>
          </w:p>
        </w:tc>
      </w:tr>
      <w:tr>
        <w:tc>
          <w:tcPr>
            <w:tcMar>
              <w:top w:type="dxa" w:w="80"/>
              <w:left w:type="dxa" w:w="100"/>
              <w:bottom w:type="dxa" w:w="80"/>
              <w:right w:type="dxa" w:w="100"/>
            </w:tcMar>
          </w:tcPr>
          <w:p>
            <w:r>
              <w:rPr>
                <w:sz w:val="18"/>
                <w:szCs w:val="18"/>
              </w:rPr>
              <w:t xml:space="preserve">Tensile strength</w:t>
            </w:r>
          </w:p>
        </w:tc>
        <w:tc>
          <w:tcPr>
            <w:tcMar>
              <w:top w:type="dxa" w:w="80"/>
              <w:left w:type="dxa" w:w="100"/>
              <w:bottom w:type="dxa" w:w="80"/>
              <w:right w:type="dxa" w:w="100"/>
            </w:tcMar>
          </w:tcPr>
          <w:p>
            <w:r>
              <w:rPr>
                <w:sz w:val="18"/>
                <w:szCs w:val="18"/>
              </w:rPr>
              <w:t xml:space="preserve">6,300 psi</w:t>
            </w:r>
          </w:p>
        </w:tc>
        <w:tc>
          <w:tcPr>
            <w:tcMar>
              <w:top w:type="dxa" w:w="80"/>
              <w:left w:type="dxa" w:w="100"/>
              <w:bottom w:type="dxa" w:w="80"/>
              <w:right w:type="dxa" w:w="100"/>
            </w:tcMar>
          </w:tcPr>
          <w:p>
            <w:r>
              <w:rPr>
                <w:sz w:val="18"/>
                <w:szCs w:val="18"/>
              </w:rPr>
              <w:t xml:space="preserve">ASTM D638</w:t>
            </w:r>
          </w:p>
        </w:tc>
      </w:tr>
      <w:tr>
        <w:tc>
          <w:tcPr>
            <w:tcMar>
              <w:top w:type="dxa" w:w="80"/>
              <w:left w:type="dxa" w:w="100"/>
              <w:bottom w:type="dxa" w:w="80"/>
              <w:right w:type="dxa" w:w="100"/>
            </w:tcMar>
          </w:tcPr>
          <w:p>
            <w:r>
              <w:rPr>
                <w:sz w:val="18"/>
                <w:szCs w:val="18"/>
              </w:rPr>
              <w:t xml:space="preserve">Adhesion</w:t>
            </w:r>
          </w:p>
        </w:tc>
        <w:tc>
          <w:tcPr>
            <w:tcMar>
              <w:top w:type="dxa" w:w="80"/>
              <w:left w:type="dxa" w:w="100"/>
              <w:bottom w:type="dxa" w:w="80"/>
              <w:right w:type="dxa" w:w="100"/>
            </w:tcMar>
          </w:tcPr>
          <w:p>
            <w:r>
              <w:rPr>
                <w:sz w:val="18"/>
                <w:szCs w:val="18"/>
              </w:rPr>
              <w:t xml:space="preserve">350 psi (concrete failure, no delamination)</w:t>
            </w:r>
          </w:p>
        </w:tc>
        <w:tc>
          <w:tcPr>
            <w:tcMar>
              <w:top w:type="dxa" w:w="80"/>
              <w:left w:type="dxa" w:w="100"/>
              <w:bottom w:type="dxa" w:w="80"/>
              <w:right w:type="dxa" w:w="100"/>
            </w:tcMar>
          </w:tcPr>
          <w:p>
            <w:r>
              <w:rPr>
                <w:sz w:val="18"/>
                <w:szCs w:val="18"/>
              </w:rPr>
              <w:t xml:space="preserve">Elcometer (standard not stated)</w:t>
            </w:r>
          </w:p>
        </w:tc>
      </w:tr>
      <w:tr>
        <w:tc>
          <w:tcPr>
            <w:tcMar>
              <w:top w:type="dxa" w:w="80"/>
              <w:left w:type="dxa" w:w="100"/>
              <w:bottom w:type="dxa" w:w="80"/>
              <w:right w:type="dxa" w:w="100"/>
            </w:tcMar>
          </w:tcPr>
          <w:p>
            <w:r>
              <w:rPr>
                <w:sz w:val="18"/>
                <w:szCs w:val="18"/>
              </w:rPr>
              <w:t xml:space="preserve">Ultimate elongation</w:t>
            </w:r>
          </w:p>
        </w:tc>
        <w:tc>
          <w:tcPr>
            <w:tcMar>
              <w:top w:type="dxa" w:w="80"/>
              <w:left w:type="dxa" w:w="100"/>
              <w:bottom w:type="dxa" w:w="80"/>
              <w:right w:type="dxa" w:w="100"/>
            </w:tcMar>
          </w:tcPr>
          <w:p>
            <w:r>
              <w:rPr>
                <w:sz w:val="18"/>
                <w:szCs w:val="18"/>
              </w:rPr>
              <w:t xml:space="preserve">3.1%</w:t>
            </w:r>
          </w:p>
        </w:tc>
        <w:tc>
          <w:tcPr>
            <w:tcMar>
              <w:top w:type="dxa" w:w="80"/>
              <w:left w:type="dxa" w:w="100"/>
              <w:bottom w:type="dxa" w:w="80"/>
              <w:right w:type="dxa" w:w="100"/>
            </w:tcMar>
          </w:tcPr>
          <w:p>
            <w:r>
              <w:rPr>
                <w:sz w:val="18"/>
                <w:szCs w:val="18"/>
              </w:rPr>
              <w:t xml:space="preserve">Not stated</w:t>
            </w:r>
          </w:p>
        </w:tc>
      </w:tr>
      <w:tr>
        <w:tc>
          <w:tcPr>
            <w:tcMar>
              <w:top w:type="dxa" w:w="80"/>
              <w:left w:type="dxa" w:w="100"/>
              <w:bottom w:type="dxa" w:w="80"/>
              <w:right w:type="dxa" w:w="100"/>
            </w:tcMar>
          </w:tcPr>
          <w:p>
            <w:r>
              <w:rPr>
                <w:sz w:val="18"/>
                <w:szCs w:val="18"/>
              </w:rPr>
              <w:t xml:space="preserve">Hardness</w:t>
            </w:r>
          </w:p>
        </w:tc>
        <w:tc>
          <w:tcPr>
            <w:tcMar>
              <w:top w:type="dxa" w:w="80"/>
              <w:left w:type="dxa" w:w="100"/>
              <w:bottom w:type="dxa" w:w="80"/>
              <w:right w:type="dxa" w:w="100"/>
            </w:tcMar>
          </w:tcPr>
          <w:p>
            <w:r>
              <w:rPr>
                <w:sz w:val="18"/>
                <w:szCs w:val="18"/>
              </w:rPr>
              <w:t xml:space="preserve">Shore D 82 (typical)</w:t>
            </w:r>
          </w:p>
        </w:tc>
        <w:tc>
          <w:tcPr>
            <w:tcMar>
              <w:top w:type="dxa" w:w="80"/>
              <w:left w:type="dxa" w:w="100"/>
              <w:bottom w:type="dxa" w:w="80"/>
              <w:right w:type="dxa" w:w="100"/>
            </w:tcMar>
          </w:tcPr>
          <w:p>
            <w:r>
              <w:rPr>
                <w:sz w:val="18"/>
                <w:szCs w:val="18"/>
              </w:rPr>
              <w:t xml:space="preserve">Not stated</w:t>
            </w:r>
          </w:p>
        </w:tc>
      </w:tr>
      <w:tr>
        <w:tc>
          <w:tcPr>
            <w:tcMar>
              <w:top w:type="dxa" w:w="80"/>
              <w:left w:type="dxa" w:w="100"/>
              <w:bottom w:type="dxa" w:w="80"/>
              <w:right w:type="dxa" w:w="100"/>
            </w:tcMar>
          </w:tcPr>
          <w:p>
            <w:r>
              <w:rPr>
                <w:sz w:val="18"/>
                <w:szCs w:val="18"/>
              </w:rPr>
              <w:t xml:space="preserve">Impact resistance</w:t>
            </w:r>
          </w:p>
        </w:tc>
        <w:tc>
          <w:tcPr>
            <w:tcMar>
              <w:top w:type="dxa" w:w="80"/>
              <w:left w:type="dxa" w:w="100"/>
              <w:bottom w:type="dxa" w:w="80"/>
              <w:right w:type="dxa" w:w="100"/>
            </w:tcMar>
          </w:tcPr>
          <w:p>
            <w:r>
              <w:rPr>
                <w:sz w:val="18"/>
                <w:szCs w:val="18"/>
              </w:rPr>
              <w:t xml:space="preserve">50 in-lb direct — passed</w:t>
            </w:r>
          </w:p>
        </w:tc>
        <w:tc>
          <w:tcPr>
            <w:tcMar>
              <w:top w:type="dxa" w:w="80"/>
              <w:left w:type="dxa" w:w="100"/>
              <w:bottom w:type="dxa" w:w="80"/>
              <w:right w:type="dxa" w:w="100"/>
            </w:tcMar>
          </w:tcPr>
          <w:p>
            <w:r>
              <w:rPr>
                <w:sz w:val="18"/>
                <w:szCs w:val="18"/>
              </w:rPr>
              <w:t xml:space="preserve">Gardner variable impactor (standard not stated)</w:t>
            </w:r>
          </w:p>
        </w:tc>
      </w:tr>
      <w:tr>
        <w:tc>
          <w:tcPr>
            <w:tcMar>
              <w:top w:type="dxa" w:w="80"/>
              <w:left w:type="dxa" w:w="100"/>
              <w:bottom w:type="dxa" w:w="80"/>
              <w:right w:type="dxa" w:w="100"/>
            </w:tcMar>
          </w:tcPr>
          <w:p>
            <w:r>
              <w:rPr>
                <w:sz w:val="18"/>
                <w:szCs w:val="18"/>
              </w:rPr>
              <w:t xml:space="preserve">Abrasion resistance</w:t>
            </w:r>
          </w:p>
        </w:tc>
        <w:tc>
          <w:tcPr>
            <w:tcMar>
              <w:top w:type="dxa" w:w="80"/>
              <w:left w:type="dxa" w:w="100"/>
              <w:bottom w:type="dxa" w:w="80"/>
              <w:right w:type="dxa" w:w="100"/>
            </w:tcMar>
          </w:tcPr>
          <w:p>
            <w:r>
              <w:rPr>
                <w:sz w:val="18"/>
                <w:szCs w:val="18"/>
              </w:rPr>
              <w:t xml:space="preserve">18 mg loss</w:t>
            </w:r>
          </w:p>
        </w:tc>
        <w:tc>
          <w:tcPr>
            <w:tcMar>
              <w:top w:type="dxa" w:w="80"/>
              <w:left w:type="dxa" w:w="100"/>
              <w:bottom w:type="dxa" w:w="80"/>
              <w:right w:type="dxa" w:w="100"/>
            </w:tcMar>
          </w:tcPr>
          <w:p>
            <w:r>
              <w:rPr>
                <w:sz w:val="18"/>
                <w:szCs w:val="18"/>
              </w:rPr>
              <w:t xml:space="preserve">Taber Abraser, CS-17 wheel, 1,000 g, 500 cycles (standard not stated)</w:t>
            </w:r>
          </w:p>
        </w:tc>
      </w:tr>
      <w:tr>
        <w:tc>
          <w:tcPr>
            <w:tcMar>
              <w:top w:type="dxa" w:w="80"/>
              <w:left w:type="dxa" w:w="100"/>
              <w:bottom w:type="dxa" w:w="80"/>
              <w:right w:type="dxa" w:w="100"/>
            </w:tcMar>
          </w:tcPr>
          <w:p>
            <w:r>
              <w:rPr>
                <w:sz w:val="18"/>
                <w:szCs w:val="18"/>
              </w:rPr>
              <w:t xml:space="preserve">Viscosity (mixed, with aggregate)</w:t>
            </w:r>
          </w:p>
        </w:tc>
        <w:tc>
          <w:tcPr>
            <w:tcMar>
              <w:top w:type="dxa" w:w="80"/>
              <w:left w:type="dxa" w:w="100"/>
              <w:bottom w:type="dxa" w:w="80"/>
              <w:right w:type="dxa" w:w="100"/>
            </w:tcMar>
          </w:tcPr>
          <w:p>
            <w:r>
              <w:rPr>
                <w:sz w:val="18"/>
                <w:szCs w:val="18"/>
              </w:rPr>
              <w:t xml:space="preserve">3,000–4,000 cps (typical)</w:t>
            </w:r>
          </w:p>
        </w:tc>
        <w:tc>
          <w:tcPr>
            <w:tcMar>
              <w:top w:type="dxa" w:w="80"/>
              <w:left w:type="dxa" w:w="100"/>
              <w:bottom w:type="dxa" w:w="80"/>
              <w:right w:type="dxa" w:w="100"/>
            </w:tcMar>
          </w:tcPr>
          <w:p>
            <w:r>
              <w:rPr>
                <w:sz w:val="18"/>
                <w:szCs w:val="18"/>
              </w:rPr>
              <w:t xml:space="preserve">Not stated</w:t>
            </w:r>
          </w:p>
        </w:tc>
      </w:tr>
      <w:tr>
        <w:tc>
          <w:tcPr>
            <w:tcMar>
              <w:top w:type="dxa" w:w="80"/>
              <w:left w:type="dxa" w:w="100"/>
              <w:bottom w:type="dxa" w:w="80"/>
              <w:right w:type="dxa" w:w="100"/>
            </w:tcMar>
          </w:tcPr>
          <w:p>
            <w:r>
              <w:rPr>
                <w:sz w:val="18"/>
                <w:szCs w:val="18"/>
              </w:rPr>
              <w:t xml:space="preserve">Slip resistance (DCOF)</w:t>
            </w:r>
          </w:p>
        </w:tc>
        <w:tc>
          <w:tcPr>
            <w:tcMar>
              <w:top w:type="dxa" w:w="80"/>
              <w:left w:type="dxa" w:w="100"/>
              <w:bottom w:type="dxa" w:w="80"/>
              <w:right w:type="dxa" w:w="100"/>
            </w:tcMar>
          </w:tcPr>
          <w:p>
            <w:r>
              <w:rPr>
                <w:sz w:val="18"/>
                <w:szCs w:val="18"/>
              </w:rPr>
              <w:t xml:space="preserve">Data pending</w:t>
            </w:r>
          </w:p>
        </w:tc>
        <w:tc>
          <w:tcPr>
            <w:tcMar>
              <w:top w:type="dxa" w:w="80"/>
              <w:left w:type="dxa" w:w="100"/>
              <w:bottom w:type="dxa" w:w="80"/>
              <w:right w:type="dxa" w:w="100"/>
            </w:tcMar>
          </w:tcPr>
          <w:p>
            <w:r>
              <w:rPr>
                <w:sz w:val="18"/>
                <w:szCs w:val="18"/>
              </w:rPr>
              <w:t xml:space="preserve">ANSI A326.3</w:t>
            </w:r>
          </w:p>
        </w:tc>
      </w:tr>
      <w:tr>
        <w:tc>
          <w:tcPr>
            <w:tcMar>
              <w:top w:type="dxa" w:w="80"/>
              <w:left w:type="dxa" w:w="100"/>
              <w:bottom w:type="dxa" w:w="80"/>
              <w:right w:type="dxa" w:w="100"/>
            </w:tcMar>
          </w:tcPr>
          <w:p>
            <w:r>
              <w:rPr>
                <w:sz w:val="18"/>
                <w:szCs w:val="18"/>
              </w:rPr>
              <w:t xml:space="preserve">Critical radiant flux (flooring fire test)</w:t>
            </w:r>
          </w:p>
        </w:tc>
        <w:tc>
          <w:tcPr>
            <w:tcMar>
              <w:top w:type="dxa" w:w="80"/>
              <w:left w:type="dxa" w:w="100"/>
              <w:bottom w:type="dxa" w:w="80"/>
              <w:right w:type="dxa" w:w="100"/>
            </w:tcMar>
          </w:tcPr>
          <w:p>
            <w:r>
              <w:rPr>
                <w:sz w:val="18"/>
                <w:szCs w:val="18"/>
              </w:rPr>
              <w:t xml:space="preserve">Data pending</w:t>
            </w:r>
          </w:p>
        </w:tc>
        <w:tc>
          <w:tcPr>
            <w:tcMar>
              <w:top w:type="dxa" w:w="80"/>
              <w:left w:type="dxa" w:w="100"/>
              <w:bottom w:type="dxa" w:w="80"/>
              <w:right w:type="dxa" w:w="100"/>
            </w:tcMar>
          </w:tcPr>
          <w:p>
            <w:r>
              <w:rPr>
                <w:sz w:val="18"/>
                <w:szCs w:val="18"/>
              </w:rPr>
              <w:t xml:space="preserve">ASTM E648</w:t>
            </w:r>
          </w:p>
        </w:tc>
      </w:tr>
      <w:tr>
        <w:tc>
          <w:tcPr>
            <w:tcMar>
              <w:top w:type="dxa" w:w="80"/>
              <w:left w:type="dxa" w:w="100"/>
              <w:bottom w:type="dxa" w:w="80"/>
              <w:right w:type="dxa" w:w="100"/>
            </w:tcMar>
          </w:tcPr>
          <w:p>
            <w:r>
              <w:rPr>
                <w:sz w:val="18"/>
                <w:szCs w:val="18"/>
              </w:rPr>
              <w:t xml:space="preserve">Water absorption</w:t>
            </w:r>
          </w:p>
        </w:tc>
        <w:tc>
          <w:tcPr>
            <w:tcMar>
              <w:top w:type="dxa" w:w="80"/>
              <w:left w:type="dxa" w:w="100"/>
              <w:bottom w:type="dxa" w:w="80"/>
              <w:right w:type="dxa" w:w="100"/>
            </w:tcMar>
          </w:tcPr>
          <w:p>
            <w:r>
              <w:rPr>
                <w:sz w:val="18"/>
                <w:szCs w:val="18"/>
              </w:rPr>
              <w:t xml:space="preserve">Data pending</w:t>
            </w:r>
          </w:p>
        </w:tc>
        <w:tc>
          <w:tcPr>
            <w:tcMar>
              <w:top w:type="dxa" w:w="80"/>
              <w:left w:type="dxa" w:w="100"/>
              <w:bottom w:type="dxa" w:w="80"/>
              <w:right w:type="dxa" w:w="100"/>
            </w:tcMar>
          </w:tcPr>
          <w:p>
            <w:r>
              <w:rPr>
                <w:sz w:val="18"/>
                <w:szCs w:val="18"/>
              </w:rPr>
              <w:t xml:space="preserve">ASTM D570</w:t>
            </w:r>
          </w:p>
        </w:tc>
      </w:tr>
      <w:tr>
        <w:tc>
          <w:tcPr>
            <w:tcMar>
              <w:top w:type="dxa" w:w="80"/>
              <w:left w:type="dxa" w:w="100"/>
              <w:bottom w:type="dxa" w:w="80"/>
              <w:right w:type="dxa" w:w="100"/>
            </w:tcMar>
          </w:tcPr>
          <w:p>
            <w:r>
              <w:rPr>
                <w:sz w:val="18"/>
                <w:szCs w:val="18"/>
              </w:rPr>
              <w:t xml:space="preserve">UV / color stability</w:t>
            </w:r>
          </w:p>
        </w:tc>
        <w:tc>
          <w:tcPr>
            <w:tcMar>
              <w:top w:type="dxa" w:w="80"/>
              <w:left w:type="dxa" w:w="100"/>
              <w:bottom w:type="dxa" w:w="80"/>
              <w:right w:type="dxa" w:w="100"/>
            </w:tcMar>
          </w:tcPr>
          <w:p>
            <w:r>
              <w:rPr>
                <w:sz w:val="18"/>
                <w:szCs w:val="18"/>
              </w:rPr>
              <w:t xml:space="preserve">Data pending</w:t>
            </w:r>
          </w:p>
        </w:tc>
        <w:tc>
          <w:tcPr>
            <w:tcMar>
              <w:top w:type="dxa" w:w="80"/>
              <w:left w:type="dxa" w:w="100"/>
              <w:bottom w:type="dxa" w:w="80"/>
              <w:right w:type="dxa" w:w="100"/>
            </w:tcMar>
          </w:tcPr>
          <w:p>
            <w:r>
              <w:rPr>
                <w:sz w:val="18"/>
                <w:szCs w:val="18"/>
              </w:rPr>
              <w:t xml:space="preserve">ASTM G154 (or equivalent)</w:t>
            </w:r>
          </w:p>
        </w:tc>
      </w:tr>
      <w:tr>
        <w:tc>
          <w:tcPr>
            <w:tcMar>
              <w:top w:type="dxa" w:w="80"/>
              <w:left w:type="dxa" w:w="100"/>
              <w:bottom w:type="dxa" w:w="80"/>
              <w:right w:type="dxa" w:w="100"/>
            </w:tcMar>
          </w:tcPr>
          <w:p>
            <w:r>
              <w:rPr>
                <w:sz w:val="18"/>
                <w:szCs w:val="18"/>
              </w:rPr>
              <w:t xml:space="preserve">Full-system performance (all layers)</w:t>
            </w:r>
          </w:p>
        </w:tc>
        <w:tc>
          <w:tcPr>
            <w:tcMar>
              <w:top w:type="dxa" w:w="80"/>
              <w:left w:type="dxa" w:w="100"/>
              <w:bottom w:type="dxa" w:w="80"/>
              <w:right w:type="dxa" w:w="100"/>
            </w:tcMar>
          </w:tcPr>
          <w:p>
            <w:r>
              <w:rPr>
                <w:sz w:val="18"/>
                <w:szCs w:val="18"/>
              </w:rPr>
              <w:t xml:space="preserve">Data pending</w:t>
            </w:r>
          </w:p>
        </w:tc>
        <w:tc>
          <w:tcPr>
            <w:tcMar>
              <w:top w:type="dxa" w:w="80"/>
              <w:left w:type="dxa" w:w="100"/>
              <w:bottom w:type="dxa" w:w="80"/>
              <w:right w:type="dxa" w:w="100"/>
            </w:tcMar>
          </w:tcPr>
          <w:p>
            <w:r>
              <w:rPr>
                <w:sz w:val="18"/>
                <w:szCs w:val="18"/>
              </w:rPr>
              <w:t xml:space="preserve">—</w:t>
            </w:r>
          </w:p>
        </w:tc>
      </w:tr>
    </w:tbl>
    <w:p>
      <w:pPr>
        <w:spacing w:after="160"/>
      </w:pPr>
    </w:p>
    <w:p>
      <w:pPr>
        <w:pBdr>
          <w:left w:val="single" w:color="B05418" w:sz="24" w:space="8"/>
        </w:pBdr>
        <w:shd w:fill="F7F5F2" w:val="clear"/>
        <w:spacing w:after="40" w:before="100"/>
      </w:pPr>
      <w:r>
        <w:rPr>
          <w:b/>
          <w:bCs/>
          <w:color w:val="9A4714"/>
          <w:sz w:val="14"/>
          <w:szCs w:val="14"/>
        </w:rPr>
        <w:t xml:space="preserve">SPECIFIER NOTE — NOT CONTRACT TEXT</w:t>
      </w:r>
    </w:p>
    <w:p>
      <w:pPr>
        <w:pBdr>
          <w:left w:val="single" w:color="B05418" w:sz="24" w:space="8"/>
        </w:pBdr>
        <w:shd w:fill="F7F5F2" w:val="clear"/>
        <w:spacing w:after="160"/>
      </w:pPr>
      <w:r>
        <w:rPr>
          <w:i/>
          <w:iCs/>
          <w:color w:val="3A3D44"/>
        </w:rPr>
        <w:t xml:space="preserve">These values are from a published specification-sheet snapshot with no stated revision date, and it does not state whether they describe the decorative layer alone or the complete installed system. Confirm the current TDS revision and scope before citing these as acceptance criteria in a bid-ready spec.</w:t>
      </w:r>
    </w:p>
    <w:p>
      <w:pPr>
        <w:pStyle w:val="Heading2"/>
        <w:spacing w:after="100" w:before="200"/>
      </w:pPr>
      <w:r>
        <w:rPr>
          <w:color w:val="040F39"/>
        </w:rPr>
        <w:t xml:space="preserve">2.4  COLORS AND BLENDS</w:t>
      </w:r>
    </w:p>
    <w:p>
      <w:pPr>
        <w:spacing w:after="140"/>
      </w:pPr>
      <w:r>
        <w:t xml:space="preserve">Available Terrazzino aggregate blends:</w:t>
      </w:r>
    </w:p>
    <w:p>
      <w:pPr>
        <w:pStyle w:val="ListParagraph"/>
        <w:numPr>
          <w:ilvl w:val="0"/>
          <w:numId w:val="1"/>
        </w:numPr>
        <w:spacing w:after="60"/>
      </w:pPr>
      <w:r>
        <w:t xml:space="preserve">North Sea</w:t>
      </w:r>
    </w:p>
    <w:p>
      <w:pPr>
        <w:pStyle w:val="ListParagraph"/>
        <w:numPr>
          <w:ilvl w:val="0"/>
          <w:numId w:val="1"/>
        </w:numPr>
        <w:spacing w:after="60"/>
      </w:pPr>
      <w:r>
        <w:t xml:space="preserve">Hierro</w:t>
      </w:r>
    </w:p>
    <w:p>
      <w:pPr>
        <w:pStyle w:val="ListParagraph"/>
        <w:numPr>
          <w:ilvl w:val="0"/>
          <w:numId w:val="1"/>
        </w:numPr>
        <w:spacing w:after="60"/>
      </w:pPr>
      <w:r>
        <w:t xml:space="preserve">Contrast</w:t>
      </w:r>
    </w:p>
    <w:p>
      <w:pPr>
        <w:pStyle w:val="ListParagraph"/>
        <w:numPr>
          <w:ilvl w:val="0"/>
          <w:numId w:val="1"/>
        </w:numPr>
        <w:spacing w:after="60"/>
      </w:pPr>
      <w:r>
        <w:t xml:space="preserve">Classic</w:t>
      </w:r>
    </w:p>
    <w:p>
      <w:pPr>
        <w:pStyle w:val="ListParagraph"/>
        <w:numPr>
          <w:ilvl w:val="0"/>
          <w:numId w:val="1"/>
        </w:numPr>
        <w:spacing w:after="60"/>
      </w:pPr>
      <w:r>
        <w:t xml:space="preserve">Desert</w:t>
      </w:r>
    </w:p>
    <w:p>
      <w:pPr>
        <w:pStyle w:val="ListParagraph"/>
        <w:numPr>
          <w:ilvl w:val="0"/>
          <w:numId w:val="1"/>
        </w:numPr>
        <w:spacing w:after="60"/>
      </w:pPr>
      <w:r>
        <w:t xml:space="preserve">Galaxy</w:t>
      </w:r>
    </w:p>
    <w:p>
      <w:pPr>
        <w:pStyle w:val="ListParagraph"/>
        <w:numPr>
          <w:ilvl w:val="0"/>
          <w:numId w:val="1"/>
        </w:numPr>
        <w:spacing w:after="60"/>
      </w:pPr>
      <w:r>
        <w:t xml:space="preserve">Cinnamon</w:t>
      </w:r>
    </w:p>
    <w:p>
      <w:pPr>
        <w:pStyle w:val="ListParagraph"/>
        <w:numPr>
          <w:ilvl w:val="0"/>
          <w:numId w:val="1"/>
        </w:numPr>
        <w:spacing w:after="60"/>
      </w:pPr>
      <w:r>
        <w:t xml:space="preserve">Sesame</w:t>
      </w:r>
    </w:p>
    <w:p>
      <w:pPr>
        <w:spacing w:after="140"/>
      </w:pPr>
      <w:r>
        <w:t xml:space="preserve">Colors are shown as close as possible given screen and print limitations; colors may vary from batch to batch. Request a physical sample board for final color selection.</w:t>
      </w:r>
    </w:p>
    <w:p>
      <w:pPr>
        <w:pStyle w:val="Heading1"/>
        <w:pageBreakBefore/>
        <w:pBdr>
          <w:bottom w:val="single" w:color="CFC8BE" w:sz="6" w:space="4"/>
        </w:pBdr>
        <w:spacing w:after="200"/>
      </w:pPr>
      <w:r>
        <w:rPr>
          <w:color w:val="040F39"/>
        </w:rPr>
        <w:t xml:space="preserve">PART 3 — EXECUTION</w:t>
      </w:r>
    </w:p>
    <w:p>
      <w:pPr>
        <w:pStyle w:val="Heading2"/>
        <w:spacing w:after="100" w:before="200"/>
      </w:pPr>
      <w:r>
        <w:rPr>
          <w:color w:val="040F39"/>
        </w:rPr>
        <w:t xml:space="preserve">3.1  EXAMINATION</w:t>
      </w:r>
    </w:p>
    <w:p>
      <w:pPr>
        <w:spacing w:after="140"/>
      </w:pPr>
      <w:r>
        <w:t xml:space="preserve">Examine substrates and conditions, with Installer present, for compliance with requirements for maximum moisture content and other conditions affecting performance. Proceed with installation only after unsatisfactory conditions have been corrected.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c>
          <w:tcPr>
            <w:shd w:fill="F7F5F2" w:val="clear"/>
            <w:tcMar>
              <w:top w:type="dxa" w:w="80"/>
              <w:left w:type="dxa" w:w="100"/>
              <w:bottom w:type="dxa" w:w="80"/>
              <w:right w:type="dxa" w:w="100"/>
            </w:tcMar>
          </w:tcPr>
          <w:p>
            <w:r>
              <w:rPr>
                <w:b/>
                <w:bCs/>
                <w:color w:val="040F39"/>
                <w:sz w:val="18"/>
                <w:szCs w:val="18"/>
              </w:rPr>
              <w:t xml:space="preserve">Requirement</w:t>
            </w:r>
          </w:p>
        </w:tc>
        <w:tc>
          <w:tcPr>
            <w:shd w:fill="F7F5F2" w:val="clear"/>
            <w:tcMar>
              <w:top w:type="dxa" w:w="80"/>
              <w:left w:type="dxa" w:w="100"/>
              <w:bottom w:type="dxa" w:w="80"/>
              <w:right w:type="dxa" w:w="100"/>
            </w:tcMar>
          </w:tcPr>
          <w:p>
            <w:r>
              <w:rPr>
                <w:b/>
                <w:bCs/>
                <w:color w:val="040F39"/>
                <w:sz w:val="18"/>
                <w:szCs w:val="18"/>
              </w:rPr>
              <w:t xml:space="preserve">Value</w:t>
            </w:r>
          </w:p>
        </w:tc>
        <w:tc>
          <w:tcPr>
            <w:shd w:fill="F7F5F2" w:val="clear"/>
            <w:tcMar>
              <w:top w:type="dxa" w:w="80"/>
              <w:left w:type="dxa" w:w="100"/>
              <w:bottom w:type="dxa" w:w="80"/>
              <w:right w:type="dxa" w:w="100"/>
            </w:tcMar>
          </w:tcPr>
          <w:p>
            <w:r>
              <w:rPr>
                <w:b/>
                <w:bCs/>
                <w:color w:val="040F39"/>
                <w:sz w:val="18"/>
                <w:szCs w:val="18"/>
              </w:rPr>
              <w:t xml:space="preserve">Method</w:t>
            </w:r>
          </w:p>
        </w:tc>
      </w:tr>
      <w:tr>
        <w:tc>
          <w:tcPr>
            <w:tcMar>
              <w:top w:type="dxa" w:w="80"/>
              <w:left w:type="dxa" w:w="100"/>
              <w:bottom w:type="dxa" w:w="80"/>
              <w:right w:type="dxa" w:w="100"/>
            </w:tcMar>
          </w:tcPr>
          <w:p>
            <w:r>
              <w:rPr>
                <w:sz w:val="18"/>
                <w:szCs w:val="18"/>
              </w:rPr>
              <w:t xml:space="preserve">Moisture (calcium chloride)</w:t>
            </w:r>
          </w:p>
        </w:tc>
        <w:tc>
          <w:tcPr>
            <w:tcMar>
              <w:top w:type="dxa" w:w="80"/>
              <w:left w:type="dxa" w:w="100"/>
              <w:bottom w:type="dxa" w:w="80"/>
              <w:right w:type="dxa" w:w="100"/>
            </w:tcMar>
          </w:tcPr>
          <w:p>
            <w:r>
              <w:rPr>
                <w:sz w:val="18"/>
                <w:szCs w:val="18"/>
              </w:rPr>
              <w:t xml:space="preserve">MVER below 20 lb/24 h/1,000 ft²</w:t>
            </w:r>
          </w:p>
        </w:tc>
        <w:tc>
          <w:tcPr>
            <w:tcMar>
              <w:top w:type="dxa" w:w="80"/>
              <w:left w:type="dxa" w:w="100"/>
              <w:bottom w:type="dxa" w:w="80"/>
              <w:right w:type="dxa" w:w="100"/>
            </w:tcMar>
          </w:tcPr>
          <w:p>
            <w:r>
              <w:rPr>
                <w:sz w:val="18"/>
                <w:szCs w:val="18"/>
              </w:rPr>
              <w:t xml:space="preserve">ASTM F1869</w:t>
            </w:r>
          </w:p>
        </w:tc>
      </w:tr>
      <w:tr>
        <w:tc>
          <w:tcPr>
            <w:tcMar>
              <w:top w:type="dxa" w:w="80"/>
              <w:left w:type="dxa" w:w="100"/>
              <w:bottom w:type="dxa" w:w="80"/>
              <w:right w:type="dxa" w:w="100"/>
            </w:tcMar>
          </w:tcPr>
          <w:p>
            <w:r>
              <w:rPr>
                <w:sz w:val="18"/>
                <w:szCs w:val="18"/>
              </w:rPr>
              <w:t xml:space="preserve">Moisture (in-situ RH)</w:t>
            </w:r>
          </w:p>
        </w:tc>
        <w:tc>
          <w:tcPr>
            <w:tcMar>
              <w:top w:type="dxa" w:w="80"/>
              <w:left w:type="dxa" w:w="100"/>
              <w:bottom w:type="dxa" w:w="80"/>
              <w:right w:type="dxa" w:w="100"/>
            </w:tcMar>
          </w:tcPr>
          <w:p>
            <w:r>
              <w:rPr>
                <w:sz w:val="18"/>
                <w:szCs w:val="18"/>
              </w:rPr>
              <w:t xml:space="preserve">Between 75% and 95% RH</w:t>
            </w:r>
          </w:p>
        </w:tc>
        <w:tc>
          <w:tcPr>
            <w:tcMar>
              <w:top w:type="dxa" w:w="80"/>
              <w:left w:type="dxa" w:w="100"/>
              <w:bottom w:type="dxa" w:w="80"/>
              <w:right w:type="dxa" w:w="100"/>
            </w:tcMar>
          </w:tcPr>
          <w:p>
            <w:r>
              <w:rPr>
                <w:sz w:val="18"/>
                <w:szCs w:val="18"/>
              </w:rPr>
              <w:t xml:space="preserve">ASTM F2170</w:t>
            </w:r>
          </w:p>
        </w:tc>
      </w:tr>
      <w:tr>
        <w:tc>
          <w:tcPr>
            <w:tcMar>
              <w:top w:type="dxa" w:w="80"/>
              <w:left w:type="dxa" w:w="100"/>
              <w:bottom w:type="dxa" w:w="80"/>
              <w:right w:type="dxa" w:w="100"/>
            </w:tcMar>
          </w:tcPr>
          <w:p>
            <w:r>
              <w:rPr>
                <w:sz w:val="18"/>
                <w:szCs w:val="18"/>
              </w:rPr>
              <w:t xml:space="preserve">Test frequency</w:t>
            </w:r>
          </w:p>
        </w:tc>
        <w:tc>
          <w:tcPr>
            <w:tcMar>
              <w:top w:type="dxa" w:w="80"/>
              <w:left w:type="dxa" w:w="100"/>
              <w:bottom w:type="dxa" w:w="80"/>
              <w:right w:type="dxa" w:w="100"/>
            </w:tcMar>
          </w:tcPr>
          <w:p>
            <w:r>
              <w:rPr>
                <w:sz w:val="18"/>
                <w:szCs w:val="18"/>
              </w:rPr>
              <w:t xml:space="preserve">At least one test per 1,000 sq ft</w:t>
            </w:r>
          </w:p>
        </w:tc>
        <w:tc>
          <w:tcPr>
            <w:tcMar>
              <w:top w:type="dxa" w:w="80"/>
              <w:left w:type="dxa" w:w="100"/>
              <w:bottom w:type="dxa" w:w="80"/>
              <w:right w:type="dxa" w:w="100"/>
            </w:tcMar>
          </w:tcPr>
          <w:p>
            <w:r>
              <w:rPr>
                <w:sz w:val="18"/>
                <w:szCs w:val="18"/>
              </w:rPr>
              <w:t xml:space="preserve">—</w:t>
            </w:r>
          </w:p>
        </w:tc>
      </w:tr>
      <w:tr>
        <w:tc>
          <w:tcPr>
            <w:tcMar>
              <w:top w:type="dxa" w:w="80"/>
              <w:left w:type="dxa" w:w="100"/>
              <w:bottom w:type="dxa" w:w="80"/>
              <w:right w:type="dxa" w:w="100"/>
            </w:tcMar>
          </w:tcPr>
          <w:p>
            <w:r>
              <w:rPr>
                <w:sz w:val="18"/>
                <w:szCs w:val="18"/>
              </w:rPr>
              <w:t xml:space="preserve">Surface profile</w:t>
            </w:r>
          </w:p>
        </w:tc>
        <w:tc>
          <w:tcPr>
            <w:tcMar>
              <w:top w:type="dxa" w:w="80"/>
              <w:left w:type="dxa" w:w="100"/>
              <w:bottom w:type="dxa" w:w="80"/>
              <w:right w:type="dxa" w:w="100"/>
            </w:tcMar>
          </w:tcPr>
          <w:p>
            <w:r>
              <w:rPr>
                <w:sz w:val="18"/>
                <w:szCs w:val="18"/>
              </w:rPr>
              <w:t xml:space="preserve">Minimum CSP 3</w:t>
            </w:r>
          </w:p>
        </w:tc>
        <w:tc>
          <w:tcPr>
            <w:tcMar>
              <w:top w:type="dxa" w:w="80"/>
              <w:left w:type="dxa" w:w="100"/>
              <w:bottom w:type="dxa" w:w="80"/>
              <w:right w:type="dxa" w:w="100"/>
            </w:tcMar>
          </w:tcPr>
          <w:p>
            <w:r>
              <w:rPr>
                <w:sz w:val="18"/>
                <w:szCs w:val="18"/>
              </w:rPr>
              <w:t xml:space="preserve">ICRI</w:t>
            </w:r>
          </w:p>
        </w:tc>
      </w:tr>
      <w:tr>
        <w:tc>
          <w:tcPr>
            <w:tcMar>
              <w:top w:type="dxa" w:w="80"/>
              <w:left w:type="dxa" w:w="100"/>
              <w:bottom w:type="dxa" w:w="80"/>
              <w:right w:type="dxa" w:w="100"/>
            </w:tcMar>
          </w:tcPr>
          <w:p>
            <w:r>
              <w:rPr>
                <w:sz w:val="18"/>
                <w:szCs w:val="18"/>
              </w:rPr>
              <w:t xml:space="preserve">New concrete</w:t>
            </w:r>
          </w:p>
        </w:tc>
        <w:tc>
          <w:tcPr>
            <w:tcMar>
              <w:top w:type="dxa" w:w="80"/>
              <w:left w:type="dxa" w:w="100"/>
              <w:bottom w:type="dxa" w:w="80"/>
              <w:right w:type="dxa" w:w="100"/>
            </w:tcMar>
          </w:tcPr>
          <w:p>
            <w:r>
              <w:rPr>
                <w:sz w:val="18"/>
                <w:szCs w:val="18"/>
              </w:rPr>
              <w:t xml:space="preserve">Cured at least 10 days; min. 3,500 psi compressive and 200 psi tensile strength</w:t>
            </w:r>
          </w:p>
        </w:tc>
        <w:tc>
          <w:tcPr>
            <w:tcMar>
              <w:top w:type="dxa" w:w="80"/>
              <w:left w:type="dxa" w:w="100"/>
              <w:bottom w:type="dxa" w:w="80"/>
              <w:right w:type="dxa" w:w="100"/>
            </w:tcMar>
          </w:tcPr>
          <w:p>
            <w:r>
              <w:rPr>
                <w:sz w:val="18"/>
                <w:szCs w:val="18"/>
              </w:rPr>
              <w:t xml:space="preserve">—</w:t>
            </w:r>
          </w:p>
        </w:tc>
      </w:tr>
      <w:tr>
        <w:tc>
          <w:tcPr>
            <w:tcMar>
              <w:top w:type="dxa" w:w="80"/>
              <w:left w:type="dxa" w:w="100"/>
              <w:bottom w:type="dxa" w:w="80"/>
              <w:right w:type="dxa" w:w="100"/>
            </w:tcMar>
          </w:tcPr>
          <w:p>
            <w:r>
              <w:rPr>
                <w:sz w:val="18"/>
                <w:szCs w:val="18"/>
              </w:rPr>
              <w:t xml:space="preserve">Substrate temperature</w:t>
            </w:r>
          </w:p>
        </w:tc>
        <w:tc>
          <w:tcPr>
            <w:tcMar>
              <w:top w:type="dxa" w:w="80"/>
              <w:left w:type="dxa" w:w="100"/>
              <w:bottom w:type="dxa" w:w="80"/>
              <w:right w:type="dxa" w:w="100"/>
            </w:tcMar>
          </w:tcPr>
          <w:p>
            <w:r>
              <w:rPr>
                <w:sz w:val="18"/>
                <w:szCs w:val="18"/>
              </w:rPr>
              <w:t xml:space="preserve">At least 5°F above dew point</w:t>
            </w:r>
          </w:p>
        </w:tc>
        <w:tc>
          <w:tcPr>
            <w:tcMar>
              <w:top w:type="dxa" w:w="80"/>
              <w:left w:type="dxa" w:w="100"/>
              <w:bottom w:type="dxa" w:w="80"/>
              <w:right w:type="dxa" w:w="100"/>
            </w:tcMar>
          </w:tcPr>
          <w:p>
            <w:r>
              <w:rPr>
                <w:sz w:val="18"/>
                <w:szCs w:val="18"/>
              </w:rPr>
              <w:t xml:space="preserve">—</w:t>
            </w:r>
          </w:p>
        </w:tc>
      </w:tr>
      <w:tr>
        <w:tc>
          <w:tcPr>
            <w:tcMar>
              <w:top w:type="dxa" w:w="80"/>
              <w:left w:type="dxa" w:w="100"/>
              <w:bottom w:type="dxa" w:w="80"/>
              <w:right w:type="dxa" w:w="100"/>
            </w:tcMar>
          </w:tcPr>
          <w:p>
            <w:r>
              <w:rPr>
                <w:sz w:val="18"/>
                <w:szCs w:val="18"/>
              </w:rPr>
              <w:t xml:space="preserve">Slab</w:t>
            </w:r>
          </w:p>
        </w:tc>
        <w:tc>
          <w:tcPr>
            <w:tcMar>
              <w:top w:type="dxa" w:w="80"/>
              <w:left w:type="dxa" w:w="100"/>
              <w:bottom w:type="dxa" w:w="80"/>
              <w:right w:type="dxa" w:w="100"/>
            </w:tcMar>
          </w:tcPr>
          <w:p>
            <w:r>
              <w:rPr>
                <w:sz w:val="18"/>
                <w:szCs w:val="18"/>
              </w:rPr>
              <w:t xml:space="preserve">At least 4 in. thick with a functioning vapor barrier</w:t>
            </w:r>
          </w:p>
        </w:tc>
        <w:tc>
          <w:tcPr>
            <w:tcMar>
              <w:top w:type="dxa" w:w="80"/>
              <w:left w:type="dxa" w:w="100"/>
              <w:bottom w:type="dxa" w:w="80"/>
              <w:right w:type="dxa" w:w="100"/>
            </w:tcMar>
          </w:tcPr>
          <w:p>
            <w:r>
              <w:rPr>
                <w:sz w:val="18"/>
                <w:szCs w:val="18"/>
              </w:rPr>
              <w:t xml:space="preserve">—</w:t>
            </w:r>
          </w:p>
        </w:tc>
      </w:tr>
      <w:tr>
        <w:tc>
          <w:tcPr>
            <w:tcMar>
              <w:top w:type="dxa" w:w="80"/>
              <w:left w:type="dxa" w:w="100"/>
              <w:bottom w:type="dxa" w:w="80"/>
              <w:right w:type="dxa" w:w="100"/>
            </w:tcMar>
          </w:tcPr>
          <w:p>
            <w:r>
              <w:rPr>
                <w:sz w:val="18"/>
                <w:szCs w:val="18"/>
              </w:rPr>
              <w:t xml:space="preserve">Not suitable over</w:t>
            </w:r>
          </w:p>
        </w:tc>
        <w:tc>
          <w:tcPr>
            <w:tcMar>
              <w:top w:type="dxa" w:w="80"/>
              <w:left w:type="dxa" w:w="100"/>
              <w:bottom w:type="dxa" w:w="80"/>
              <w:right w:type="dxa" w:w="100"/>
            </w:tcMar>
          </w:tcPr>
          <w:p>
            <w:r>
              <w:rPr>
                <w:sz w:val="18"/>
                <w:szCs w:val="18"/>
              </w:rPr>
              <w:t xml:space="preserve">Gypsum compounds or lightweight concrete; hydrostatic or osmotic water conditions</w:t>
            </w:r>
          </w:p>
        </w:tc>
        <w:tc>
          <w:tcPr>
            <w:tcMar>
              <w:top w:type="dxa" w:w="80"/>
              <w:left w:type="dxa" w:w="100"/>
              <w:bottom w:type="dxa" w:w="80"/>
              <w:right w:type="dxa" w:w="100"/>
            </w:tcMar>
          </w:tcPr>
          <w:p>
            <w:r>
              <w:rPr>
                <w:sz w:val="18"/>
                <w:szCs w:val="18"/>
              </w:rPr>
              <w:t xml:space="preserve">—</w:t>
            </w:r>
          </w:p>
        </w:tc>
      </w:tr>
      <w:tr>
        <w:tc>
          <w:tcPr>
            <w:tcMar>
              <w:top w:type="dxa" w:w="80"/>
              <w:left w:type="dxa" w:w="100"/>
              <w:bottom w:type="dxa" w:w="80"/>
              <w:right w:type="dxa" w:w="100"/>
            </w:tcMar>
          </w:tcPr>
          <w:p>
            <w:r>
              <w:rPr>
                <w:sz w:val="18"/>
                <w:szCs w:val="18"/>
              </w:rPr>
              <w:t xml:space="preserve">Material storage</w:t>
            </w:r>
          </w:p>
        </w:tc>
        <w:tc>
          <w:tcPr>
            <w:tcMar>
              <w:top w:type="dxa" w:w="80"/>
              <w:left w:type="dxa" w:w="100"/>
              <w:bottom w:type="dxa" w:w="80"/>
              <w:right w:type="dxa" w:w="100"/>
            </w:tcMar>
          </w:tcPr>
          <w:p>
            <w:r>
              <w:rPr>
                <w:sz w:val="18"/>
                <w:szCs w:val="18"/>
              </w:rPr>
              <w:t xml:space="preserve">65–85°F for at least 48 hours before use</w:t>
            </w:r>
          </w:p>
        </w:tc>
        <w:tc>
          <w:tcPr>
            <w:tcMar>
              <w:top w:type="dxa" w:w="80"/>
              <w:left w:type="dxa" w:w="100"/>
              <w:bottom w:type="dxa" w:w="80"/>
              <w:right w:type="dxa" w:w="100"/>
            </w:tcMar>
          </w:tcPr>
          <w:p>
            <w:r>
              <w:rPr>
                <w:sz w:val="18"/>
                <w:szCs w:val="18"/>
              </w:rPr>
              <w:t xml:space="preserve">—</w:t>
            </w:r>
          </w:p>
        </w:tc>
      </w:tr>
    </w:tbl>
    <w:p>
      <w:pPr>
        <w:spacing w:after="160"/>
      </w:pPr>
    </w:p>
    <w:p>
      <w:pPr>
        <w:pStyle w:val="Heading2"/>
        <w:spacing w:after="100" w:before="200"/>
      </w:pPr>
      <w:r>
        <w:rPr>
          <w:color w:val="040F39"/>
        </w:rPr>
        <w:t xml:space="preserve">3.2  MOISTURE TESTING</w:t>
      </w:r>
    </w:p>
    <w:p>
      <w:pPr>
        <w:pStyle w:val="ListParagraph"/>
        <w:numPr>
          <w:ilvl w:val="0"/>
          <w:numId w:val="1"/>
        </w:numPr>
        <w:spacing w:after="60"/>
      </w:pPr>
      <w:r>
        <w:t xml:space="preserve">Test for moisture vapor emission rate (MVER) per ASTM F1869 (calcium chloride): maximum 20 lb/24 h/1,000 sq ft. Perform this test only where HVAC has operated continuously for at least one week before and during testing.</w:t>
      </w:r>
    </w:p>
    <w:p>
      <w:pPr>
        <w:pStyle w:val="ListParagraph"/>
        <w:numPr>
          <w:ilvl w:val="0"/>
          <w:numId w:val="1"/>
        </w:numPr>
        <w:spacing w:after="60"/>
      </w:pPr>
      <w:r>
        <w:t xml:space="preserve">Or test in-situ relative humidity per ASTM F2170: 75%–95% RH acceptable for the moisture vapor barrier.</w:t>
      </w:r>
    </w:p>
    <w:p>
      <w:pPr>
        <w:pStyle w:val="ListParagraph"/>
        <w:numPr>
          <w:ilvl w:val="0"/>
          <w:numId w:val="1"/>
        </w:numPr>
        <w:spacing w:after="60"/>
      </w:pPr>
      <w:r>
        <w:t xml:space="preserve">Perform a minimum of one test of each type per 1,000 sq ft of floor area.</w:t>
      </w:r>
    </w:p>
    <w:p>
      <w:pPr>
        <w:pStyle w:val="ListParagraph"/>
        <w:numPr>
          <w:ilvl w:val="0"/>
          <w:numId w:val="1"/>
        </w:numPr>
        <w:spacing w:after="60"/>
      </w:pPr>
      <w:r>
        <w:t xml:space="preserve">Do not proceed with installation until moisture test results are within the limits above and have been reviewed by the Installer.</w:t>
      </w:r>
    </w:p>
    <w:p>
      <w:pPr>
        <w:pBdr>
          <w:left w:val="single" w:color="B05418" w:sz="24" w:space="8"/>
        </w:pBdr>
        <w:shd w:fill="F7F5F2" w:val="clear"/>
        <w:spacing w:after="40" w:before="100"/>
      </w:pPr>
      <w:r>
        <w:rPr>
          <w:b/>
          <w:bCs/>
          <w:color w:val="9A4714"/>
          <w:sz w:val="14"/>
          <w:szCs w:val="14"/>
        </w:rPr>
        <w:t xml:space="preserve">SPECIFIER NOTE — NOT CONTRACT TEXT</w:t>
      </w:r>
    </w:p>
    <w:p>
      <w:pPr>
        <w:pBdr>
          <w:left w:val="single" w:color="B05418" w:sz="24" w:space="8"/>
        </w:pBdr>
        <w:shd w:fill="F7F5F2" w:val="clear"/>
        <w:spacing w:after="160"/>
      </w:pPr>
      <w:r>
        <w:rPr>
          <w:i/>
          <w:iCs/>
          <w:color w:val="3A3D44"/>
        </w:rPr>
        <w:t xml:space="preserve">These are the moisture vapor barrier's stated qualification range, not a documented pass/fail threshold for the assembled floor system as a whole. Confirm with the manufacturer whether a different (e.g., stricter) limit applies to the finished Terrazzino system before publishing this as an acceptance criterion.</w:t>
      </w:r>
    </w:p>
    <w:p>
      <w:pPr>
        <w:pStyle w:val="Heading2"/>
        <w:spacing w:after="100" w:before="200"/>
      </w:pPr>
      <w:r>
        <w:rPr>
          <w:color w:val="040F39"/>
        </w:rPr>
        <w:t xml:space="preserve">3.3  PREPARATION</w:t>
      </w:r>
    </w:p>
    <w:p>
      <w:pPr>
        <w:pStyle w:val="ListParagraph"/>
        <w:numPr>
          <w:ilvl w:val="0"/>
          <w:numId w:val="1"/>
        </w:numPr>
        <w:spacing w:after="60"/>
      </w:pPr>
      <w:r>
        <w:t xml:space="preserve">Diamond grind the substrate to a minimum surface profile of CSP 3 (ICRI) — grind as flat as possible.</w:t>
      </w:r>
    </w:p>
    <w:p>
      <w:pPr>
        <w:pStyle w:val="ListParagraph"/>
        <w:numPr>
          <w:ilvl w:val="0"/>
          <w:numId w:val="1"/>
        </w:numPr>
        <w:spacing w:after="60"/>
      </w:pPr>
      <w:r>
        <w:t xml:space="preserve">Vacuum thoroughly to remove all grinding dust before proceeding.</w:t>
      </w:r>
    </w:p>
    <w:p>
      <w:pPr>
        <w:pStyle w:val="ListParagraph"/>
        <w:numPr>
          <w:ilvl w:val="0"/>
          <w:numId w:val="1"/>
        </w:numPr>
        <w:spacing w:after="60"/>
      </w:pPr>
      <w:r>
        <w:t xml:space="preserve">Protect adjacent surfaces, equipment, and finishes not scheduled to receive the floor system.</w:t>
      </w:r>
    </w:p>
    <w:p>
      <w:pPr>
        <w:pStyle w:val="Heading2"/>
        <w:spacing w:after="100" w:before="200"/>
      </w:pPr>
      <w:r>
        <w:rPr>
          <w:color w:val="040F39"/>
        </w:rPr>
        <w:t xml:space="preserve">3.4  CRACK AND JOINT REPAIR</w:t>
      </w:r>
    </w:p>
    <w:p>
      <w:pPr>
        <w:pStyle w:val="ListParagraph"/>
        <w:numPr>
          <w:ilvl w:val="0"/>
          <w:numId w:val="1"/>
        </w:numPr>
        <w:spacing w:after="60"/>
      </w:pPr>
      <w:r>
        <w:t xml:space="preserve">Non-moving cracks and surface voids: grind open, fill with crack paste / pinhole filler slightly proud of the surrounding surface, then grind flush — “filled, flush, and flat.”</w:t>
      </w:r>
    </w:p>
    <w:p>
      <w:pPr>
        <w:pStyle w:val="ListParagraph"/>
        <w:numPr>
          <w:ilvl w:val="0"/>
          <w:numId w:val="1"/>
        </w:numPr>
        <w:spacing w:after="60"/>
      </w:pPr>
      <w:r>
        <w:t xml:space="preserve">Moving (structural) joints and saw-cut control joints: </w:t>
      </w:r>
      <w:r>
        <w:rPr>
          <w:b/>
          <w:bCs/>
          <w:color w:val="9A4714"/>
        </w:rPr>
        <w:t xml:space="preserve">[joint treatment detail — sealant product, joint width, and whether the resinous system is run through or terminated at the joint]</w:t>
      </w:r>
    </w:p>
    <w:p>
      <w:pPr>
        <w:pStyle w:val="ListParagraph"/>
        <w:numPr>
          <w:ilvl w:val="0"/>
          <w:numId w:val="1"/>
        </w:numPr>
        <w:spacing w:after="60"/>
      </w:pPr>
      <w:r>
        <w:t xml:space="preserve">Do not bridge known moving joints with the resinous system without a detailed joint treatment reviewed by the Architect.</w:t>
      </w:r>
    </w:p>
    <w:p>
      <w:pPr>
        <w:pBdr>
          <w:left w:val="single" w:color="B05418" w:sz="24" w:space="8"/>
        </w:pBdr>
        <w:shd w:fill="F7F5F2" w:val="clear"/>
        <w:spacing w:after="40" w:before="100"/>
      </w:pPr>
      <w:r>
        <w:rPr>
          <w:b/>
          <w:bCs/>
          <w:color w:val="9A4714"/>
          <w:sz w:val="14"/>
          <w:szCs w:val="14"/>
        </w:rPr>
        <w:t xml:space="preserve">SPECIFIER NOTE — NOT CONTRACT TEXT</w:t>
      </w:r>
    </w:p>
    <w:p>
      <w:pPr>
        <w:pBdr>
          <w:left w:val="single" w:color="B05418" w:sz="24" w:space="8"/>
        </w:pBdr>
        <w:shd w:fill="F7F5F2" w:val="clear"/>
        <w:spacing w:after="160"/>
      </w:pPr>
      <w:r>
        <w:rPr>
          <w:i/>
          <w:iCs/>
          <w:color w:val="3A3D44"/>
        </w:rPr>
        <w:t xml:space="preserve">See /architects/details for a typical joint-treatment drawing; sealant product and joint width are flagged NEEDS DATA there as well and must be confirmed per project.</w:t>
      </w:r>
    </w:p>
    <w:p>
      <w:pPr>
        <w:pStyle w:val="Heading2"/>
        <w:spacing w:after="100" w:before="200"/>
      </w:pPr>
      <w:r>
        <w:rPr>
          <w:color w:val="040F39"/>
        </w:rPr>
        <w:t xml:space="preserve">3.5  APPLICATION</w:t>
      </w:r>
    </w:p>
    <w:p>
      <w:pPr>
        <w:spacing w:after="140"/>
      </w:pPr>
      <w:r>
        <w:t xml:space="preserve">Mix and apply each component per the manufacturer's current technical data sheet and the schedule below. Mix only the quantity that can be placed within pot life.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c>
          <w:tcPr>
            <w:shd w:fill="F7F5F2" w:val="clear"/>
            <w:tcMar>
              <w:top w:type="dxa" w:w="80"/>
              <w:left w:type="dxa" w:w="100"/>
              <w:bottom w:type="dxa" w:w="80"/>
              <w:right w:type="dxa" w:w="100"/>
            </w:tcMar>
          </w:tcPr>
          <w:p>
            <w:r>
              <w:rPr>
                <w:b/>
                <w:bCs/>
                <w:color w:val="040F39"/>
                <w:sz w:val="18"/>
                <w:szCs w:val="18"/>
              </w:rPr>
              <w:t xml:space="preserve">Layer</w:t>
            </w:r>
          </w:p>
        </w:tc>
        <w:tc>
          <w:tcPr>
            <w:shd w:fill="F7F5F2" w:val="clear"/>
            <w:tcMar>
              <w:top w:type="dxa" w:w="80"/>
              <w:left w:type="dxa" w:w="100"/>
              <w:bottom w:type="dxa" w:w="80"/>
              <w:right w:type="dxa" w:w="100"/>
            </w:tcMar>
          </w:tcPr>
          <w:p>
            <w:r>
              <w:rPr>
                <w:b/>
                <w:bCs/>
                <w:color w:val="040F39"/>
                <w:sz w:val="18"/>
                <w:szCs w:val="18"/>
              </w:rPr>
              <w:t xml:space="preserve">Target thickness</w:t>
            </w:r>
          </w:p>
        </w:tc>
        <w:tc>
          <w:tcPr>
            <w:shd w:fill="F7F5F2" w:val="clear"/>
            <w:tcMar>
              <w:top w:type="dxa" w:w="80"/>
              <w:left w:type="dxa" w:w="100"/>
              <w:bottom w:type="dxa" w:w="80"/>
              <w:right w:type="dxa" w:w="100"/>
            </w:tcMar>
          </w:tcPr>
          <w:p>
            <w:r>
              <w:rPr>
                <w:b/>
                <w:bCs/>
                <w:color w:val="040F39"/>
                <w:sz w:val="18"/>
                <w:szCs w:val="18"/>
              </w:rPr>
              <w:t xml:space="preserve">Coverage</w:t>
            </w:r>
          </w:p>
        </w:tc>
        <w:tc>
          <w:tcPr>
            <w:shd w:fill="F7F5F2" w:val="clear"/>
            <w:tcMar>
              <w:top w:type="dxa" w:w="80"/>
              <w:left w:type="dxa" w:w="100"/>
              <w:bottom w:type="dxa" w:w="80"/>
              <w:right w:type="dxa" w:w="100"/>
            </w:tcMar>
          </w:tcPr>
          <w:p>
            <w:r>
              <w:rPr>
                <w:b/>
                <w:bCs/>
                <w:color w:val="040F39"/>
                <w:sz w:val="18"/>
                <w:szCs w:val="18"/>
              </w:rPr>
              <w:t xml:space="preserve">Application tool</w:t>
            </w:r>
          </w:p>
        </w:tc>
      </w:tr>
      <w:tr>
        <w:tc>
          <w:tcPr>
            <w:tcMar>
              <w:top w:type="dxa" w:w="80"/>
              <w:left w:type="dxa" w:w="100"/>
              <w:bottom w:type="dxa" w:w="80"/>
              <w:right w:type="dxa" w:w="100"/>
            </w:tcMar>
          </w:tcPr>
          <w:p>
            <w:r>
              <w:rPr>
                <w:sz w:val="18"/>
                <w:szCs w:val="18"/>
              </w:rPr>
              <w:t xml:space="preserve">Terrazzino Moisture Vapor Control (MVB)</w:t>
            </w:r>
          </w:p>
        </w:tc>
        <w:tc>
          <w:tcPr>
            <w:tcMar>
              <w:top w:type="dxa" w:w="80"/>
              <w:left w:type="dxa" w:w="100"/>
              <w:bottom w:type="dxa" w:w="80"/>
              <w:right w:type="dxa" w:w="100"/>
            </w:tcMar>
          </w:tcPr>
          <w:p>
            <w:r>
              <w:rPr>
                <w:sz w:val="18"/>
                <w:szCs w:val="18"/>
              </w:rPr>
              <w:t xml:space="preserve">20 mils </w:t>
            </w:r>
            <w:r>
              <w:rPr>
                <w:b/>
                <w:bCs/>
                <w:color w:val="9A4714"/>
                <w:sz w:val="18"/>
                <w:szCs w:val="18"/>
              </w:rPr>
              <w:t xml:space="preserve">[NEEDS DATA: planning value]</w:t>
            </w:r>
          </w:p>
        </w:tc>
        <w:tc>
          <w:tcPr>
            <w:tcMar>
              <w:top w:type="dxa" w:w="80"/>
              <w:left w:type="dxa" w:w="100"/>
              <w:bottom w:type="dxa" w:w="80"/>
              <w:right w:type="dxa" w:w="100"/>
            </w:tcMar>
          </w:tcPr>
          <w:p>
            <w:r>
              <w:rPr>
                <w:sz w:val="18"/>
                <w:szCs w:val="18"/>
              </w:rPr>
              <w:t xml:space="preserve">80 sq ft/gal</w:t>
            </w:r>
          </w:p>
        </w:tc>
        <w:tc>
          <w:tcPr>
            <w:tcMar>
              <w:top w:type="dxa" w:w="80"/>
              <w:left w:type="dxa" w:w="100"/>
              <w:bottom w:type="dxa" w:w="80"/>
              <w:right w:type="dxa" w:w="100"/>
            </w:tcMar>
          </w:tcPr>
          <w:p>
            <w:r>
              <w:rPr>
                <w:sz w:val="18"/>
                <w:szCs w:val="18"/>
              </w:rPr>
              <w:t xml:space="preserve">Notched squeegee</w:t>
            </w:r>
          </w:p>
        </w:tc>
      </w:tr>
      <w:tr>
        <w:tc>
          <w:tcPr>
            <w:tcMar>
              <w:top w:type="dxa" w:w="80"/>
              <w:left w:type="dxa" w:w="100"/>
              <w:bottom w:type="dxa" w:w="80"/>
              <w:right w:type="dxa" w:w="100"/>
            </w:tcMar>
          </w:tcPr>
          <w:p>
            <w:r>
              <w:rPr>
                <w:sz w:val="18"/>
                <w:szCs w:val="18"/>
              </w:rPr>
              <w:t xml:space="preserve">Terrazzino Fast Set Primer (alternative to MVB, eligible non-porous surfaces only)</w:t>
            </w:r>
          </w:p>
        </w:tc>
        <w:tc>
          <w:tcPr>
            <w:tcMar>
              <w:top w:type="dxa" w:w="80"/>
              <w:left w:type="dxa" w:w="100"/>
              <w:bottom w:type="dxa" w:w="80"/>
              <w:right w:type="dxa" w:w="100"/>
            </w:tcMar>
          </w:tcPr>
          <w:p>
            <w:r>
              <w:rPr>
                <w:sz w:val="18"/>
                <w:szCs w:val="18"/>
              </w:rPr>
              <w:t xml:space="preserve">Data pending </w:t>
            </w:r>
            <w:r>
              <w:rPr>
                <w:b/>
                <w:bCs/>
                <w:color w:val="9A4714"/>
                <w:sz w:val="18"/>
                <w:szCs w:val="18"/>
              </w:rPr>
              <w:t xml:space="preserve">[NEEDS DATA: planning value]</w:t>
            </w:r>
          </w:p>
        </w:tc>
        <w:tc>
          <w:tcPr>
            <w:tcMar>
              <w:top w:type="dxa" w:w="80"/>
              <w:left w:type="dxa" w:w="100"/>
              <w:bottom w:type="dxa" w:w="80"/>
              <w:right w:type="dxa" w:w="100"/>
            </w:tcMar>
          </w:tcPr>
          <w:p>
            <w:r>
              <w:rPr>
                <w:sz w:val="18"/>
                <w:szCs w:val="18"/>
              </w:rPr>
              <w:t xml:space="preserve">300 sq ft/gal</w:t>
            </w:r>
          </w:p>
        </w:tc>
        <w:tc>
          <w:tcPr>
            <w:tcMar>
              <w:top w:type="dxa" w:w="80"/>
              <w:left w:type="dxa" w:w="100"/>
              <w:bottom w:type="dxa" w:w="80"/>
              <w:right w:type="dxa" w:w="100"/>
            </w:tcMar>
          </w:tcPr>
          <w:p>
            <w:r>
              <w:rPr>
                <w:sz w:val="18"/>
                <w:szCs w:val="18"/>
              </w:rPr>
              <w:t xml:space="preserve">Notched squeegee</w:t>
            </w:r>
          </w:p>
        </w:tc>
      </w:tr>
      <w:tr>
        <w:tc>
          <w:tcPr>
            <w:tcMar>
              <w:top w:type="dxa" w:w="80"/>
              <w:left w:type="dxa" w:w="100"/>
              <w:bottom w:type="dxa" w:w="80"/>
              <w:right w:type="dxa" w:w="100"/>
            </w:tcMar>
          </w:tcPr>
          <w:p>
            <w:r>
              <w:rPr>
                <w:sz w:val="18"/>
                <w:szCs w:val="18"/>
              </w:rPr>
              <w:t xml:space="preserve">Terrazzino High Build Epoxy (base coat)</w:t>
            </w:r>
          </w:p>
        </w:tc>
        <w:tc>
          <w:tcPr>
            <w:tcMar>
              <w:top w:type="dxa" w:w="80"/>
              <w:left w:type="dxa" w:w="100"/>
              <w:bottom w:type="dxa" w:w="80"/>
              <w:right w:type="dxa" w:w="100"/>
            </w:tcMar>
          </w:tcPr>
          <w:p>
            <w:r>
              <w:rPr>
                <w:sz w:val="18"/>
                <w:szCs w:val="18"/>
              </w:rPr>
              <w:t xml:space="preserve">20 mils </w:t>
            </w:r>
            <w:r>
              <w:rPr>
                <w:b/>
                <w:bCs/>
                <w:color w:val="9A4714"/>
                <w:sz w:val="18"/>
                <w:szCs w:val="18"/>
              </w:rPr>
              <w:t xml:space="preserve">[NEEDS DATA: planning value]</w:t>
            </w:r>
          </w:p>
        </w:tc>
        <w:tc>
          <w:tcPr>
            <w:tcMar>
              <w:top w:type="dxa" w:w="80"/>
              <w:left w:type="dxa" w:w="100"/>
              <w:bottom w:type="dxa" w:w="80"/>
              <w:right w:type="dxa" w:w="100"/>
            </w:tcMar>
          </w:tcPr>
          <w:p>
            <w:r>
              <w:rPr>
                <w:sz w:val="18"/>
                <w:szCs w:val="18"/>
              </w:rPr>
              <w:t xml:space="preserve">80 sq ft/gal (80–100 sq ft/gal per product page)</w:t>
            </w:r>
          </w:p>
        </w:tc>
        <w:tc>
          <w:tcPr>
            <w:tcMar>
              <w:top w:type="dxa" w:w="80"/>
              <w:left w:type="dxa" w:w="100"/>
              <w:bottom w:type="dxa" w:w="80"/>
              <w:right w:type="dxa" w:w="100"/>
            </w:tcMar>
          </w:tcPr>
          <w:p>
            <w:r>
              <w:rPr>
                <w:sz w:val="18"/>
                <w:szCs w:val="18"/>
              </w:rPr>
              <w:t xml:space="preserve">Notched squeegee</w:t>
            </w:r>
          </w:p>
        </w:tc>
      </w:tr>
      <w:tr>
        <w:tc>
          <w:tcPr>
            <w:tcMar>
              <w:top w:type="dxa" w:w="80"/>
              <w:left w:type="dxa" w:w="100"/>
              <w:bottom w:type="dxa" w:w="80"/>
              <w:right w:type="dxa" w:w="100"/>
            </w:tcMar>
          </w:tcPr>
          <w:p>
            <w:r>
              <w:rPr>
                <w:sz w:val="18"/>
                <w:szCs w:val="18"/>
              </w:rPr>
              <w:t xml:space="preserve">Terrazzino micro-terrazzo layer</w:t>
            </w:r>
          </w:p>
        </w:tc>
        <w:tc>
          <w:tcPr>
            <w:tcMar>
              <w:top w:type="dxa" w:w="80"/>
              <w:left w:type="dxa" w:w="100"/>
              <w:bottom w:type="dxa" w:w="80"/>
              <w:right w:type="dxa" w:w="100"/>
            </w:tcMar>
          </w:tcPr>
          <w:p>
            <w:r>
              <w:rPr>
                <w:sz w:val="18"/>
                <w:szCs w:val="18"/>
              </w:rPr>
              <w:t xml:space="preserve">60 mils (target)</w:t>
            </w:r>
          </w:p>
        </w:tc>
        <w:tc>
          <w:tcPr>
            <w:tcMar>
              <w:top w:type="dxa" w:w="80"/>
              <w:left w:type="dxa" w:w="100"/>
              <w:bottom w:type="dxa" w:w="80"/>
              <w:right w:type="dxa" w:w="100"/>
            </w:tcMar>
          </w:tcPr>
          <w:p>
            <w:r>
              <w:rPr>
                <w:sz w:val="18"/>
                <w:szCs w:val="18"/>
              </w:rPr>
              <w:t xml:space="preserve">approx. 55 sq ft per kit</w:t>
            </w:r>
          </w:p>
        </w:tc>
        <w:tc>
          <w:tcPr>
            <w:tcMar>
              <w:top w:type="dxa" w:w="80"/>
              <w:left w:type="dxa" w:w="100"/>
              <w:bottom w:type="dxa" w:w="80"/>
              <w:right w:type="dxa" w:w="100"/>
            </w:tcMar>
          </w:tcPr>
          <w:p>
            <w:r>
              <w:rPr>
                <w:sz w:val="18"/>
                <w:szCs w:val="18"/>
              </w:rPr>
              <w:t xml:space="preserve">50–60 mil notched squeegee or Wire gauge rake</w:t>
            </w:r>
          </w:p>
        </w:tc>
      </w:tr>
      <w:tr>
        <w:tc>
          <w:tcPr>
            <w:tcMar>
              <w:top w:type="dxa" w:w="80"/>
              <w:left w:type="dxa" w:w="100"/>
              <w:bottom w:type="dxa" w:w="80"/>
              <w:right w:type="dxa" w:w="100"/>
            </w:tcMar>
          </w:tcPr>
          <w:p>
            <w:r>
              <w:rPr>
                <w:sz w:val="18"/>
                <w:szCs w:val="18"/>
              </w:rPr>
              <w:t xml:space="preserve">Terrazzino Urethane Topcoat</w:t>
            </w:r>
          </w:p>
        </w:tc>
        <w:tc>
          <w:tcPr>
            <w:tcMar>
              <w:top w:type="dxa" w:w="80"/>
              <w:left w:type="dxa" w:w="100"/>
              <w:bottom w:type="dxa" w:w="80"/>
              <w:right w:type="dxa" w:w="100"/>
            </w:tcMar>
          </w:tcPr>
          <w:p>
            <w:r>
              <w:rPr>
                <w:sz w:val="18"/>
                <w:szCs w:val="18"/>
              </w:rPr>
              <w:t xml:space="preserve">2–3 mils </w:t>
            </w:r>
            <w:r>
              <w:rPr>
                <w:b/>
                <w:bCs/>
                <w:color w:val="9A4714"/>
                <w:sz w:val="18"/>
                <w:szCs w:val="18"/>
              </w:rPr>
              <w:t xml:space="preserve">[NEEDS DATA: planning value]</w:t>
            </w:r>
          </w:p>
        </w:tc>
        <w:tc>
          <w:tcPr>
            <w:tcMar>
              <w:top w:type="dxa" w:w="80"/>
              <w:left w:type="dxa" w:w="100"/>
              <w:bottom w:type="dxa" w:w="80"/>
              <w:right w:type="dxa" w:w="100"/>
            </w:tcMar>
          </w:tcPr>
          <w:p>
            <w:r>
              <w:rPr>
                <w:sz w:val="18"/>
                <w:szCs w:val="18"/>
              </w:rPr>
              <w:t xml:space="preserve">Data pending</w:t>
            </w:r>
          </w:p>
        </w:tc>
        <w:tc>
          <w:tcPr>
            <w:tcMar>
              <w:top w:type="dxa" w:w="80"/>
              <w:left w:type="dxa" w:w="100"/>
              <w:bottom w:type="dxa" w:w="80"/>
              <w:right w:type="dxa" w:w="100"/>
            </w:tcMar>
          </w:tcPr>
          <w:p>
            <w:r>
              <w:rPr>
                <w:sz w:val="18"/>
                <w:szCs w:val="18"/>
              </w:rPr>
              <w:t xml:space="preserve">Notched squeegee + backroll</w:t>
            </w:r>
          </w:p>
        </w:tc>
      </w:tr>
    </w:tbl>
    <w:p>
      <w:pPr>
        <w:spacing w:after="160"/>
      </w:pPr>
    </w:p>
    <w:p>
      <w:pPr>
        <w:spacing w:after="60"/>
      </w:pPr>
      <w:r>
        <w:rPr>
          <w:b/>
          <w:bCs/>
        </w:rPr>
        <w:t xml:space="preserve">1. </w:t>
      </w:r>
      <w:r>
        <w:t xml:space="preserve">Apply moisture vapor barrier (or primer, where permitted) in two coats with a notched squeegee; prime twice to reduce pinholing in later layers.</w:t>
      </w:r>
    </w:p>
    <w:p>
      <w:pPr>
        <w:spacing w:after="60"/>
      </w:pPr>
      <w:r>
        <w:rPr>
          <w:b/>
          <w:bCs/>
        </w:rPr>
        <w:t xml:space="preserve">2. </w:t>
      </w:r>
      <w:r>
        <w:t xml:space="preserve">Inspect base coat for pinholes and fill before proceeding; sand with 60–80 grit and vacuum before placing the decorative layer.</w:t>
      </w:r>
    </w:p>
    <w:p>
      <w:pPr>
        <w:spacing w:after="60"/>
      </w:pPr>
      <w:r>
        <w:rPr>
          <w:b/>
          <w:bCs/>
        </w:rPr>
        <w:t xml:space="preserve">3. </w:t>
      </w:r>
      <w:r>
        <w:t xml:space="preserve">Spread the mixed Terrazzino micro-terrazzo material at 60 mils with a 50–60 mil notched squeegee or a wire gauge rake set to 1/20 in.–1/16 in. A 3/8 in. V-notch squeegee applies too little material for this layer and shall not be used.</w:t>
      </w:r>
    </w:p>
    <w:p>
      <w:pPr>
        <w:spacing w:after="60"/>
      </w:pPr>
      <w:r>
        <w:rPr>
          <w:b/>
          <w:bCs/>
        </w:rPr>
        <w:t xml:space="preserve">4. </w:t>
      </w:r>
      <w:r>
        <w:t xml:space="preserve">Allow the micro-terrazzo layer to settle 5–10 minutes, then loop-roll with an 18 in. looped roller to level the surface and remove tool marks.</w:t>
      </w:r>
    </w:p>
    <w:p>
      <w:pPr>
        <w:spacing w:after="60"/>
      </w:pPr>
      <w:r>
        <w:rPr>
          <w:b/>
          <w:bCs/>
        </w:rPr>
        <w:t xml:space="preserve">5. </w:t>
      </w:r>
      <w:r>
        <w:t xml:space="preserve">Order a minimum of 10% additional material beyond the calculated quantity to avoid running short mid-pour.</w:t>
      </w:r>
    </w:p>
    <w:p>
      <w:pPr>
        <w:spacing w:after="60"/>
      </w:pPr>
      <w:r>
        <w:rPr>
          <w:b/>
          <w:bCs/>
        </w:rPr>
        <w:t xml:space="preserve">6. </w:t>
      </w:r>
      <w:r>
        <w:t xml:space="preserve">Before applying a urethane topcoat, sand the cured micro-terrazzo layer with a 100–200 grit screen and vacuum.</w:t>
      </w:r>
    </w:p>
    <w:p>
      <w:pPr>
        <w:spacing w:after="60"/>
      </w:pPr>
      <w:r>
        <w:rPr>
          <w:b/>
          <w:bCs/>
        </w:rPr>
        <w:t xml:space="preserve">7. </w:t>
      </w:r>
      <w:r>
        <w:t xml:space="preserve">Where Terrazzino Cera is specified instead of a urethane topcoat, apply without sanding (3–4 coats, buffed between coats) or after sanding 100 then 200 grit (5–6 coats, buffed between coats); this route cannot be sanded flat after application, so correct any unlevel areas in the micro-terrazzo layer before finishing.</w:t>
      </w:r>
    </w:p>
    <w:p>
      <w:pPr>
        <w:pStyle w:val="Heading2"/>
        <w:spacing w:after="100" w:before="200"/>
      </w:pPr>
      <w:r>
        <w:rPr>
          <w:color w:val="040F39"/>
        </w:rPr>
        <w:t xml:space="preserve">3.6  CURE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shd w:fill="F7F5F2" w:val="clear"/>
            <w:tcMar>
              <w:top w:type="dxa" w:w="80"/>
              <w:left w:type="dxa" w:w="100"/>
              <w:bottom w:type="dxa" w:w="80"/>
              <w:right w:type="dxa" w:w="100"/>
            </w:tcMar>
          </w:tcPr>
          <w:p>
            <w:r>
              <w:rPr>
                <w:b/>
                <w:bCs/>
                <w:color w:val="040F39"/>
                <w:sz w:val="18"/>
                <w:szCs w:val="18"/>
              </w:rPr>
              <w:t xml:space="preserve">Stage</w:t>
            </w:r>
          </w:p>
        </w:tc>
        <w:tc>
          <w:tcPr>
            <w:shd w:fill="F7F5F2" w:val="clear"/>
            <w:tcMar>
              <w:top w:type="dxa" w:w="80"/>
              <w:left w:type="dxa" w:w="100"/>
              <w:bottom w:type="dxa" w:w="80"/>
              <w:right w:type="dxa" w:w="100"/>
            </w:tcMar>
          </w:tcPr>
          <w:p>
            <w:r>
              <w:rPr>
                <w:b/>
                <w:bCs/>
                <w:color w:val="040F39"/>
                <w:sz w:val="18"/>
                <w:szCs w:val="18"/>
              </w:rPr>
              <w:t xml:space="preserve">Value (at 70°F)</w:t>
            </w:r>
          </w:p>
        </w:tc>
      </w:tr>
      <w:tr>
        <w:tc>
          <w:tcPr>
            <w:tcMar>
              <w:top w:type="dxa" w:w="80"/>
              <w:left w:type="dxa" w:w="100"/>
              <w:bottom w:type="dxa" w:w="80"/>
              <w:right w:type="dxa" w:w="100"/>
            </w:tcMar>
          </w:tcPr>
          <w:p>
            <w:r>
              <w:rPr>
                <w:sz w:val="18"/>
                <w:szCs w:val="18"/>
              </w:rPr>
              <w:t xml:space="preserve">Pot life (1½ gal volume)</w:t>
            </w:r>
          </w:p>
        </w:tc>
        <w:tc>
          <w:tcPr>
            <w:tcMar>
              <w:top w:type="dxa" w:w="80"/>
              <w:left w:type="dxa" w:w="100"/>
              <w:bottom w:type="dxa" w:w="80"/>
              <w:right w:type="dxa" w:w="100"/>
            </w:tcMar>
          </w:tcPr>
          <w:p>
            <w:r>
              <w:rPr>
                <w:sz w:val="18"/>
                <w:szCs w:val="18"/>
              </w:rPr>
              <w:t xml:space="preserve">15–25 minutes</w:t>
            </w:r>
          </w:p>
        </w:tc>
      </w:tr>
      <w:tr>
        <w:tc>
          <w:tcPr>
            <w:tcMar>
              <w:top w:type="dxa" w:w="80"/>
              <w:left w:type="dxa" w:w="100"/>
              <w:bottom w:type="dxa" w:w="80"/>
              <w:right w:type="dxa" w:w="100"/>
            </w:tcMar>
          </w:tcPr>
          <w:p>
            <w:r>
              <w:rPr>
                <w:sz w:val="18"/>
                <w:szCs w:val="18"/>
              </w:rPr>
              <w:t xml:space="preserve">Tack free (dry to touch)</w:t>
            </w:r>
          </w:p>
        </w:tc>
        <w:tc>
          <w:tcPr>
            <w:tcMar>
              <w:top w:type="dxa" w:w="80"/>
              <w:left w:type="dxa" w:w="100"/>
              <w:bottom w:type="dxa" w:w="80"/>
              <w:right w:type="dxa" w:w="100"/>
            </w:tcMar>
          </w:tcPr>
          <w:p>
            <w:r>
              <w:rPr>
                <w:sz w:val="18"/>
                <w:szCs w:val="18"/>
              </w:rPr>
              <w:t xml:space="preserve">4–6 hours</w:t>
            </w:r>
          </w:p>
        </w:tc>
      </w:tr>
      <w:tr>
        <w:tc>
          <w:tcPr>
            <w:tcMar>
              <w:top w:type="dxa" w:w="80"/>
              <w:left w:type="dxa" w:w="100"/>
              <w:bottom w:type="dxa" w:w="80"/>
              <w:right w:type="dxa" w:w="100"/>
            </w:tcMar>
          </w:tcPr>
          <w:p>
            <w:r>
              <w:rPr>
                <w:sz w:val="18"/>
                <w:szCs w:val="18"/>
              </w:rPr>
              <w:t xml:space="preserve">Recoat or topcoat</w:t>
            </w:r>
          </w:p>
        </w:tc>
        <w:tc>
          <w:tcPr>
            <w:tcMar>
              <w:top w:type="dxa" w:w="80"/>
              <w:left w:type="dxa" w:w="100"/>
              <w:bottom w:type="dxa" w:w="80"/>
              <w:right w:type="dxa" w:w="100"/>
            </w:tcMar>
          </w:tcPr>
          <w:p>
            <w:r>
              <w:rPr>
                <w:sz w:val="18"/>
                <w:szCs w:val="18"/>
              </w:rPr>
              <w:t xml:space="preserve">6–9 hours</w:t>
            </w:r>
          </w:p>
        </w:tc>
      </w:tr>
      <w:tr>
        <w:tc>
          <w:tcPr>
            <w:tcMar>
              <w:top w:type="dxa" w:w="80"/>
              <w:left w:type="dxa" w:w="100"/>
              <w:bottom w:type="dxa" w:w="80"/>
              <w:right w:type="dxa" w:w="100"/>
            </w:tcMar>
          </w:tcPr>
          <w:p>
            <w:r>
              <w:rPr>
                <w:sz w:val="18"/>
                <w:szCs w:val="18"/>
              </w:rPr>
              <w:t xml:space="preserve">Light foot traffic</w:t>
            </w:r>
          </w:p>
        </w:tc>
        <w:tc>
          <w:tcPr>
            <w:tcMar>
              <w:top w:type="dxa" w:w="80"/>
              <w:left w:type="dxa" w:w="100"/>
              <w:bottom w:type="dxa" w:w="80"/>
              <w:right w:type="dxa" w:w="100"/>
            </w:tcMar>
          </w:tcPr>
          <w:p>
            <w:r>
              <w:rPr>
                <w:sz w:val="18"/>
                <w:szCs w:val="18"/>
              </w:rPr>
              <w:t xml:space="preserve">12–24 hours</w:t>
            </w:r>
          </w:p>
        </w:tc>
      </w:tr>
      <w:tr>
        <w:tc>
          <w:tcPr>
            <w:tcMar>
              <w:top w:type="dxa" w:w="80"/>
              <w:left w:type="dxa" w:w="100"/>
              <w:bottom w:type="dxa" w:w="80"/>
              <w:right w:type="dxa" w:w="100"/>
            </w:tcMar>
          </w:tcPr>
          <w:p>
            <w:r>
              <w:rPr>
                <w:sz w:val="18"/>
                <w:szCs w:val="18"/>
              </w:rPr>
              <w:t xml:space="preserve">Full cure (heavy traffic)</w:t>
            </w:r>
          </w:p>
        </w:tc>
        <w:tc>
          <w:tcPr>
            <w:tcMar>
              <w:top w:type="dxa" w:w="80"/>
              <w:left w:type="dxa" w:w="100"/>
              <w:bottom w:type="dxa" w:w="80"/>
              <w:right w:type="dxa" w:w="100"/>
            </w:tcMar>
          </w:tcPr>
          <w:p>
            <w:r>
              <w:rPr>
                <w:sz w:val="18"/>
                <w:szCs w:val="18"/>
              </w:rPr>
              <w:t xml:space="preserve">2–5 days</w:t>
            </w:r>
          </w:p>
        </w:tc>
      </w:tr>
    </w:tbl>
    <w:p>
      <w:pPr>
        <w:spacing w:after="160"/>
      </w:pPr>
    </w:p>
    <w:p>
      <w:pPr>
        <w:spacing w:after="140"/>
      </w:pPr>
      <w:r>
        <w:t xml:space="preserve">Do not permit foot traffic, equipment, or furnishings on the floor until the applicable cure stage above has elapsed.</w:t>
      </w:r>
    </w:p>
    <w:p>
      <w:pPr>
        <w:pStyle w:val="Heading2"/>
        <w:spacing w:after="100" w:before="200"/>
      </w:pPr>
      <w:r>
        <w:rPr>
          <w:color w:val="040F39"/>
        </w:rPr>
        <w:t xml:space="preserve">3.7  FIELD QUALITY CONTROL</w:t>
      </w:r>
    </w:p>
    <w:p>
      <w:pPr>
        <w:pStyle w:val="ListParagraph"/>
        <w:numPr>
          <w:ilvl w:val="0"/>
          <w:numId w:val="1"/>
        </w:numPr>
        <w:spacing w:after="60"/>
      </w:pPr>
      <w:r>
        <w:t xml:space="preserve">Verify ambient and substrate conditions meet Section 1.6 Field Conditions before and during each application step.</w:t>
      </w:r>
    </w:p>
    <w:p>
      <w:pPr>
        <w:pStyle w:val="ListParagraph"/>
        <w:numPr>
          <w:ilvl w:val="0"/>
          <w:numId w:val="1"/>
        </w:numPr>
        <w:spacing w:after="60"/>
      </w:pPr>
      <w:r>
        <w:t xml:space="preserve">Inspect each coat for pinholes, bubbles, and foreign debris before proceeding to the next layer; repair before recoating.</w:t>
      </w:r>
    </w:p>
    <w:p>
      <w:pPr>
        <w:pStyle w:val="ListParagraph"/>
        <w:numPr>
          <w:ilvl w:val="0"/>
          <w:numId w:val="1"/>
        </w:numPr>
        <w:spacing w:after="60"/>
      </w:pPr>
      <w:r>
        <w:t xml:space="preserve">Test unfamiliar notched-squeegee or rake equipment on a scrap area to confirm actual yield before use on the floor.</w:t>
      </w:r>
    </w:p>
    <w:p>
      <w:pPr>
        <w:pStyle w:val="ListParagraph"/>
        <w:numPr>
          <w:ilvl w:val="0"/>
          <w:numId w:val="1"/>
        </w:numPr>
        <w:spacing w:after="60"/>
      </w:pPr>
      <w:r>
        <w:t xml:space="preserve">Verify cured micro-terrazzo thickness and finish coat application against the schedule in Section 3.5.</w:t>
      </w:r>
    </w:p>
    <w:p>
      <w:pPr>
        <w:pStyle w:val="Heading2"/>
        <w:spacing w:after="100" w:before="200"/>
      </w:pPr>
      <w:r>
        <w:rPr>
          <w:color w:val="040F39"/>
        </w:rPr>
        <w:t xml:space="preserve">3.8  PROTECTION</w:t>
      </w:r>
    </w:p>
    <w:p>
      <w:pPr>
        <w:spacing w:after="140"/>
      </w:pPr>
      <w:r>
        <w:t xml:space="preserve">Protect completed floor system from traffic, construction debris, and other trades until full cure has elapsed per Section 3.6. Barricade and post signage as required to prevent access during cure.</w:t>
      </w:r>
    </w:p>
    <w:p>
      <w:pPr>
        <w:pStyle w:val="Heading2"/>
        <w:spacing w:after="100" w:before="200"/>
      </w:pPr>
      <w:r>
        <w:rPr>
          <w:color w:val="040F39"/>
        </w:rPr>
        <w:t xml:space="preserve">3.9  CLEANING</w:t>
      </w:r>
    </w:p>
    <w:p>
      <w:pPr>
        <w:spacing w:after="140"/>
      </w:pPr>
      <w:r>
        <w:t xml:space="preserve">Remove masking, protective coverings, and construction debris from the finished floor. Clean per the manufacturer's maintenance guidance before Owner occupancy; avoid solvents or abrasive methods not approved by the manufacturer.</w:t>
      </w:r>
    </w:p>
    <w:p>
      <w:pPr>
        <w:pBdr>
          <w:top w:val="single" w:color="CFC8BE" w:sz="4" w:space="8"/>
        </w:pBdr>
        <w:spacing w:before="300"/>
      </w:pPr>
      <w:r>
        <w:rPr>
          <w:i/>
          <w:iCs/>
          <w:color w:val="5A5F69"/>
          <w:sz w:val="15"/>
          <w:szCs w:val="15"/>
        </w:rPr>
        <w:t xml:space="preserve">Technical values are provided for reference; confirm against the current TDS before specifying. This guide specification is a drafting aid, not a substitute for professional judgment — edit, delete, and confirm every bracketed and NEEDS DATA item for the specific project.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2026-10-30T12:10:54.705Z</dcterms:created>
  <dcterms:modified xsi:type="dcterms:W3CDTF">2026-10-30T12:10:54.706Z</dcterms:modified>
</cp:coreProperties>
</file>

<file path=docProps/custom.xml><?xml version="1.0" encoding="utf-8"?>
<Properties xmlns="http://schemas.openxmlformats.org/officeDocument/2006/custom-properties" xmlns:vt="http://schemas.openxmlformats.org/officeDocument/2006/docPropsVTypes"/>
</file>